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0D8FD">
      <w:pPr>
        <w:ind w:firstLine="640" w:firstLineChars="200"/>
        <w:rPr>
          <w:rFonts w:hint="eastAsia" w:ascii="仿宋_GB2312" w:hAnsi="仿宋_GB2312" w:eastAsia="仿宋_GB2312" w:cs="仿宋_GB2312"/>
          <w:sz w:val="32"/>
          <w:szCs w:val="32"/>
          <w:lang w:eastAsia="zh-CN"/>
        </w:rPr>
      </w:pPr>
    </w:p>
    <w:p w14:paraId="52F5C081">
      <w:pPr>
        <w:ind w:firstLine="640"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商合函</w:t>
      </w:r>
      <w:r>
        <w:rPr>
          <w:rFonts w:hint="eastAsia" w:ascii="仿宋_GB2312" w:hAnsi="仿宋_GB2312" w:eastAsia="仿宋_GB2312" w:cs="仿宋_GB2312"/>
          <w:sz w:val="32"/>
          <w:szCs w:val="32"/>
          <w:lang w:val="en-US" w:eastAsia="zh-CN"/>
        </w:rPr>
        <w:t>〔2025〕8号</w:t>
      </w:r>
    </w:p>
    <w:p w14:paraId="16EF78F2">
      <w:pPr>
        <w:ind w:firstLine="640" w:firstLineChars="200"/>
        <w:jc w:val="right"/>
        <w:rPr>
          <w:rFonts w:hint="eastAsia" w:ascii="仿宋_GB2312" w:hAnsi="仿宋_GB2312" w:eastAsia="仿宋_GB2312" w:cs="仿宋_GB2312"/>
          <w:sz w:val="32"/>
          <w:szCs w:val="32"/>
          <w:lang w:eastAsia="zh-CN"/>
        </w:rPr>
      </w:pPr>
    </w:p>
    <w:p w14:paraId="22F815CB">
      <w:pPr>
        <w:ind w:left="0" w:leftChars="0" w:firstLine="0" w:firstLineChars="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eastAsia="zh-CN"/>
        </w:rPr>
        <w:t>商务部关于印发</w:t>
      </w:r>
      <w:r>
        <w:rPr>
          <w:rFonts w:hint="eastAsia" w:ascii="宋体" w:hAnsi="宋体" w:eastAsia="宋体" w:cs="宋体"/>
          <w:b/>
          <w:bCs/>
          <w:sz w:val="44"/>
          <w:szCs w:val="44"/>
          <w:lang w:val="en-US" w:eastAsia="zh-CN"/>
        </w:rPr>
        <w:t>《对外承包工程业务统计</w:t>
      </w:r>
    </w:p>
    <w:p w14:paraId="22B66045">
      <w:pPr>
        <w:ind w:left="0" w:leftChars="0" w:firstLine="0" w:firstLineChars="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调查制度》和《对外劳务合作业务统计</w:t>
      </w:r>
    </w:p>
    <w:p w14:paraId="72410833">
      <w:pPr>
        <w:ind w:left="0" w:lef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lang w:val="en-US" w:eastAsia="zh-CN"/>
        </w:rPr>
        <w:t>调查制度》的通知</w:t>
      </w:r>
    </w:p>
    <w:p w14:paraId="0698D9ED">
      <w:pPr>
        <w:ind w:firstLine="640" w:firstLineChars="200"/>
        <w:rPr>
          <w:rFonts w:hint="eastAsia" w:ascii="仿宋_GB2312" w:hAnsi="仿宋_GB2312" w:eastAsia="仿宋_GB2312" w:cs="仿宋_GB2312"/>
          <w:sz w:val="32"/>
          <w:szCs w:val="32"/>
          <w:lang w:eastAsia="zh-CN"/>
        </w:rPr>
      </w:pPr>
    </w:p>
    <w:p w14:paraId="666D34D3">
      <w:pPr>
        <w:ind w:left="218" w:leftChars="104"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各省、自治区、直辖市及计划单列市、新疆生产建设兵团商务主管部门，有</w:t>
      </w:r>
      <w:bookmarkStart w:id="143" w:name="_GoBack"/>
      <w:bookmarkEnd w:id="143"/>
      <w:r>
        <w:rPr>
          <w:rFonts w:hint="eastAsia" w:ascii="仿宋_GB2312" w:hAnsi="仿宋_GB2312" w:eastAsia="仿宋_GB2312" w:cs="仿宋_GB2312"/>
          <w:sz w:val="32"/>
          <w:szCs w:val="32"/>
          <w:lang w:eastAsia="zh-CN"/>
        </w:rPr>
        <w:t>关企业：</w:t>
      </w:r>
    </w:p>
    <w:p w14:paraId="4B90504F">
      <w:pPr>
        <w:ind w:left="218" w:leftChars="104"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部门统计调查项目管理办法》（2017年国家统计局令第22号），商务部紧密围绕服务构建新发展格局，立足商务工作“三个重要”定位，结合近年我国对外承包工程和对外劳务合作业务特点和管理需要，对2022年1月印发的《对外承包工程业务统计调查制度》和《对外劳务合作业务统计调查制度》进行了修订，并经国家统计局批准执行。现将修订后的《对外承包工程业务统计调查制度》和《对外劳务合作业务统计调查制度》印发给你们，自发布日起执行。《商务部关于印发&lt;对外承包工程业务统计调查制度&gt;和 &lt;对外劳务合作业务统计调查制度&gt;的通知》（商合函〔2022〕5号）同时废止。</w:t>
      </w:r>
    </w:p>
    <w:p w14:paraId="47849638">
      <w:pPr>
        <w:ind w:firstLine="640" w:firstLineChars="200"/>
        <w:rPr>
          <w:rFonts w:hint="eastAsia" w:ascii="仿宋_GB2312" w:hAnsi="仿宋_GB2312" w:eastAsia="仿宋_GB2312" w:cs="仿宋_GB2312"/>
          <w:sz w:val="32"/>
          <w:szCs w:val="32"/>
          <w:lang w:val="en-US" w:eastAsia="zh-CN"/>
        </w:rPr>
      </w:pPr>
    </w:p>
    <w:p w14:paraId="29F8AA11">
      <w:pPr>
        <w:ind w:firstLine="640" w:firstLineChars="200"/>
        <w:rPr>
          <w:rFonts w:hint="eastAsia" w:ascii="仿宋_GB2312" w:hAnsi="仿宋_GB2312" w:eastAsia="仿宋_GB2312" w:cs="仿宋_GB2312"/>
          <w:sz w:val="32"/>
          <w:szCs w:val="32"/>
          <w:lang w:val="en-US" w:eastAsia="zh-CN"/>
        </w:rPr>
      </w:pPr>
    </w:p>
    <w:p w14:paraId="3398875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附件：1.《对外承包工程业务统计调查制度》修订说明</w:t>
      </w:r>
    </w:p>
    <w:p w14:paraId="5248773C">
      <w:pPr>
        <w:widowControl w:val="0"/>
        <w:numPr>
          <w:ilvl w:val="0"/>
          <w:numId w:val="0"/>
        </w:numPr>
        <w:ind w:firstLine="1600" w:firstLineChars="5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2.《对外劳务合作业务统计调查制度》修订说明</w:t>
      </w:r>
    </w:p>
    <w:p w14:paraId="0950CFE9">
      <w:pPr>
        <w:widowControl w:val="0"/>
        <w:numPr>
          <w:ilvl w:val="0"/>
          <w:numId w:val="0"/>
        </w:numPr>
        <w:jc w:val="both"/>
        <w:rPr>
          <w:rFonts w:hint="eastAsia" w:ascii="仿宋_GB2312" w:hAnsi="仿宋_GB2312" w:eastAsia="仿宋_GB2312" w:cs="仿宋_GB2312"/>
          <w:sz w:val="32"/>
          <w:szCs w:val="32"/>
          <w:lang w:val="en-US" w:eastAsia="zh-CN"/>
        </w:rPr>
      </w:pPr>
    </w:p>
    <w:p w14:paraId="207C7747">
      <w:pPr>
        <w:widowControl w:val="0"/>
        <w:numPr>
          <w:ilvl w:val="0"/>
          <w:numId w:val="0"/>
        </w:numPr>
        <w:jc w:val="both"/>
        <w:rPr>
          <w:rFonts w:hint="eastAsia" w:ascii="仿宋_GB2312" w:hAnsi="仿宋_GB2312" w:eastAsia="仿宋_GB2312" w:cs="仿宋_GB2312"/>
          <w:sz w:val="32"/>
          <w:szCs w:val="32"/>
          <w:lang w:val="en-US" w:eastAsia="zh-CN"/>
        </w:rPr>
      </w:pPr>
    </w:p>
    <w:p w14:paraId="57AE0A52">
      <w:pPr>
        <w:widowControl w:val="0"/>
        <w:numPr>
          <w:ilvl w:val="0"/>
          <w:numId w:val="0"/>
        </w:num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商 务 部      </w:t>
      </w:r>
    </w:p>
    <w:p w14:paraId="2136F798">
      <w:pPr>
        <w:widowControl w:val="0"/>
        <w:numPr>
          <w:ilvl w:val="0"/>
          <w:numId w:val="0"/>
        </w:numPr>
        <w:wordWrap w:val="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2025年1月20日  </w:t>
      </w:r>
    </w:p>
    <w:p w14:paraId="68E4EB89">
      <w:pPr>
        <w:widowControl w:val="0"/>
        <w:numPr>
          <w:ilvl w:val="0"/>
          <w:numId w:val="0"/>
        </w:numPr>
        <w:wordWrap w:val="0"/>
        <w:jc w:val="right"/>
        <w:rPr>
          <w:rFonts w:hint="eastAsia" w:ascii="仿宋_GB2312" w:hAnsi="仿宋_GB2312" w:eastAsia="仿宋_GB2312" w:cs="仿宋_GB2312"/>
          <w:sz w:val="32"/>
          <w:szCs w:val="32"/>
          <w:lang w:val="en-US" w:eastAsia="zh-CN"/>
        </w:rPr>
      </w:pPr>
    </w:p>
    <w:p w14:paraId="4A108B16">
      <w:pPr>
        <w:widowControl/>
        <w:spacing w:before="100" w:beforeAutospacing="1" w:after="100" w:afterAutospacing="1" w:line="384" w:lineRule="auto"/>
        <w:jc w:val="center"/>
        <w:rPr>
          <w:rFonts w:hint="eastAsia" w:ascii="宋体" w:hAnsi="宋体" w:cs="宋体"/>
          <w:b/>
          <w:color w:val="auto"/>
          <w:kern w:val="0"/>
          <w:sz w:val="52"/>
          <w:szCs w:val="52"/>
        </w:rPr>
        <w:sectPr>
          <w:footerReference r:id="rId3" w:type="default"/>
          <w:pgSz w:w="11906" w:h="16838"/>
          <w:pgMar w:top="1332" w:right="1247" w:bottom="1332" w:left="1247" w:header="851" w:footer="992" w:gutter="0"/>
          <w:pgBorders>
            <w:top w:val="none" w:sz="0" w:space="0"/>
            <w:left w:val="none" w:sz="0" w:space="0"/>
            <w:bottom w:val="none" w:sz="0" w:space="0"/>
            <w:right w:val="none" w:sz="0" w:space="0"/>
          </w:pgBorders>
          <w:pgNumType w:fmt="decimal" w:start="2"/>
          <w:cols w:space="720" w:num="1"/>
          <w:docGrid w:type="lines" w:linePitch="312" w:charSpace="0"/>
        </w:sectPr>
      </w:pPr>
    </w:p>
    <w:p w14:paraId="2FBE439A">
      <w:pPr>
        <w:pStyle w:val="3"/>
        <w:rPr>
          <w:rFonts w:hint="eastAsia"/>
        </w:rPr>
      </w:pPr>
    </w:p>
    <w:p w14:paraId="30BEC84E">
      <w:pPr>
        <w:widowControl/>
        <w:spacing w:before="100" w:beforeAutospacing="1" w:after="100" w:afterAutospacing="1" w:line="384" w:lineRule="auto"/>
        <w:jc w:val="center"/>
        <w:rPr>
          <w:rFonts w:hint="eastAsia" w:ascii="宋体" w:hAnsi="宋体" w:cs="宋体"/>
          <w:b/>
          <w:color w:val="auto"/>
          <w:kern w:val="0"/>
          <w:sz w:val="52"/>
          <w:szCs w:val="52"/>
        </w:rPr>
      </w:pPr>
    </w:p>
    <w:p w14:paraId="084C5220">
      <w:pPr>
        <w:widowControl/>
        <w:spacing w:before="0" w:beforeAutospacing="0" w:after="0" w:afterAutospacing="0" w:line="620" w:lineRule="exact"/>
        <w:ind w:right="-514"/>
        <w:jc w:val="center"/>
        <w:rPr>
          <w:rFonts w:hint="eastAsia" w:ascii="宋体" w:hAnsi="Times New Roman" w:cs="Times New Roman"/>
          <w:b w:val="0"/>
          <w:bCs/>
          <w:color w:val="auto"/>
          <w:kern w:val="2"/>
          <w:sz w:val="52"/>
          <w:szCs w:val="52"/>
          <w:highlight w:val="none"/>
        </w:rPr>
      </w:pPr>
      <w:r>
        <w:rPr>
          <w:rFonts w:hint="eastAsia" w:ascii="宋体" w:hAnsi="Times New Roman" w:cs="Times New Roman"/>
          <w:b w:val="0"/>
          <w:bCs/>
          <w:color w:val="auto"/>
          <w:kern w:val="2"/>
          <w:sz w:val="52"/>
          <w:szCs w:val="52"/>
          <w:highlight w:val="none"/>
        </w:rPr>
        <w:t>对外承包工程业务统计调查制度</w:t>
      </w:r>
    </w:p>
    <w:p w14:paraId="1E108FB9">
      <w:pPr>
        <w:widowControl/>
        <w:spacing w:before="100" w:beforeAutospacing="1" w:after="100" w:afterAutospacing="1" w:line="384" w:lineRule="auto"/>
        <w:jc w:val="center"/>
        <w:rPr>
          <w:rFonts w:hint="eastAsia" w:ascii="宋体" w:hAnsi="宋体" w:eastAsia="宋体" w:cs="宋体"/>
          <w:color w:val="auto"/>
          <w:kern w:val="0"/>
          <w:sz w:val="36"/>
          <w:szCs w:val="36"/>
          <w:lang w:eastAsia="zh-CN"/>
        </w:rPr>
      </w:pPr>
    </w:p>
    <w:p w14:paraId="2343AB3A">
      <w:pPr>
        <w:widowControl/>
        <w:spacing w:before="100" w:beforeAutospacing="1" w:after="100" w:afterAutospacing="1" w:line="384" w:lineRule="auto"/>
        <w:rPr>
          <w:rFonts w:ascii="宋体" w:hAnsi="宋体" w:cs="宋体"/>
          <w:color w:val="auto"/>
          <w:kern w:val="0"/>
          <w:szCs w:val="21"/>
        </w:rPr>
      </w:pPr>
    </w:p>
    <w:p w14:paraId="53BE0D54">
      <w:pPr>
        <w:widowControl/>
        <w:spacing w:before="100" w:beforeAutospacing="1" w:after="100" w:afterAutospacing="1" w:line="384" w:lineRule="auto"/>
        <w:rPr>
          <w:rFonts w:ascii="宋体" w:hAnsi="宋体" w:cs="宋体"/>
          <w:color w:val="auto"/>
          <w:kern w:val="0"/>
          <w:szCs w:val="21"/>
        </w:rPr>
      </w:pPr>
    </w:p>
    <w:p w14:paraId="522E0C5B">
      <w:pPr>
        <w:widowControl/>
        <w:spacing w:before="100" w:beforeAutospacing="1" w:after="100" w:afterAutospacing="1" w:line="384" w:lineRule="auto"/>
        <w:rPr>
          <w:rFonts w:ascii="宋体" w:hAnsi="宋体" w:cs="宋体"/>
          <w:color w:val="auto"/>
          <w:kern w:val="0"/>
          <w:szCs w:val="21"/>
        </w:rPr>
      </w:pPr>
    </w:p>
    <w:p w14:paraId="54045D98">
      <w:pPr>
        <w:widowControl/>
        <w:spacing w:before="100" w:beforeAutospacing="1" w:after="100" w:afterAutospacing="1" w:line="384" w:lineRule="auto"/>
        <w:rPr>
          <w:rFonts w:ascii="宋体" w:hAnsi="宋体" w:cs="宋体"/>
          <w:color w:val="auto"/>
          <w:kern w:val="0"/>
          <w:szCs w:val="21"/>
        </w:rPr>
      </w:pPr>
    </w:p>
    <w:p w14:paraId="30A0F9BD">
      <w:pPr>
        <w:widowControl/>
        <w:spacing w:before="100" w:beforeAutospacing="1" w:after="100" w:afterAutospacing="1" w:line="384" w:lineRule="auto"/>
        <w:jc w:val="center"/>
        <w:rPr>
          <w:rFonts w:ascii="宋体" w:hAnsi="宋体" w:cs="宋体"/>
          <w:b/>
          <w:color w:val="auto"/>
          <w:kern w:val="0"/>
          <w:sz w:val="32"/>
          <w:szCs w:val="32"/>
        </w:rPr>
      </w:pPr>
    </w:p>
    <w:p w14:paraId="06EE1356">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0" w:name="_Toc1569520134"/>
      <w:r>
        <w:rPr>
          <w:rFonts w:hint="eastAsia" w:ascii="宋体" w:hAnsi="宋体" w:eastAsia="宋体" w:cs="宋体"/>
          <w:color w:val="auto"/>
          <w:kern w:val="0"/>
          <w:sz w:val="32"/>
          <w:szCs w:val="32"/>
        </w:rPr>
        <w:t>中华人民共和国商务部制定</w:t>
      </w:r>
      <w:bookmarkEnd w:id="0"/>
    </w:p>
    <w:p w14:paraId="5F2A12EF">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1" w:name="_Toc1963307066"/>
      <w:r>
        <w:rPr>
          <w:rFonts w:hint="eastAsia" w:ascii="宋体" w:hAnsi="宋体" w:eastAsia="宋体" w:cs="宋体"/>
          <w:color w:val="auto"/>
          <w:kern w:val="0"/>
          <w:sz w:val="32"/>
          <w:szCs w:val="32"/>
        </w:rPr>
        <w:t>国家统计局批准</w:t>
      </w:r>
      <w:bookmarkEnd w:id="1"/>
    </w:p>
    <w:p w14:paraId="481827D5">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2" w:name="_Toc2139865938"/>
      <w:r>
        <w:rPr>
          <w:rFonts w:hint="eastAsia" w:ascii="宋体" w:hAnsi="宋体" w:eastAsia="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eastAsia="宋体" w:cs="宋体"/>
          <w:color w:val="auto"/>
          <w:kern w:val="0"/>
          <w:sz w:val="32"/>
          <w:szCs w:val="32"/>
        </w:rPr>
        <w:t>年</w:t>
      </w:r>
      <w:r>
        <w:rPr>
          <w:rFonts w:hint="eastAsia" w:ascii="宋体" w:hAnsi="宋体" w:cs="宋体"/>
          <w:color w:val="auto"/>
          <w:kern w:val="0"/>
          <w:sz w:val="32"/>
          <w:szCs w:val="32"/>
          <w:lang w:val="en-US" w:eastAsia="zh-CN"/>
        </w:rPr>
        <w:t>1</w:t>
      </w:r>
      <w:r>
        <w:rPr>
          <w:rFonts w:hint="eastAsia" w:ascii="宋体" w:hAnsi="宋体" w:eastAsia="宋体" w:cs="宋体"/>
          <w:color w:val="auto"/>
          <w:kern w:val="0"/>
          <w:sz w:val="32"/>
          <w:szCs w:val="32"/>
        </w:rPr>
        <w:t>月</w:t>
      </w:r>
      <w:bookmarkEnd w:id="2"/>
    </w:p>
    <w:p w14:paraId="527B454B">
      <w:pPr>
        <w:widowControl/>
        <w:spacing w:before="100" w:beforeAutospacing="1" w:after="100" w:afterAutospacing="1" w:line="384" w:lineRule="auto"/>
        <w:rPr>
          <w:rFonts w:ascii="宋体" w:hAnsi="宋体" w:cs="宋体"/>
          <w:color w:val="auto"/>
          <w:kern w:val="0"/>
          <w:szCs w:val="21"/>
        </w:rPr>
      </w:pPr>
    </w:p>
    <w:p w14:paraId="33D58C98">
      <w:pPr>
        <w:widowControl/>
        <w:spacing w:before="100" w:beforeAutospacing="1" w:after="100" w:afterAutospacing="1" w:line="384" w:lineRule="auto"/>
        <w:rPr>
          <w:rFonts w:ascii="宋体" w:hAnsi="宋体" w:cs="宋体"/>
          <w:color w:val="auto"/>
          <w:kern w:val="0"/>
          <w:szCs w:val="21"/>
        </w:rPr>
      </w:pPr>
    </w:p>
    <w:p w14:paraId="65D3D4D2">
      <w:pPr>
        <w:widowControl/>
        <w:spacing w:before="100" w:beforeAutospacing="1" w:after="100" w:afterAutospacing="1" w:line="384" w:lineRule="auto"/>
        <w:jc w:val="center"/>
        <w:rPr>
          <w:rFonts w:ascii="宋体" w:hAnsi="宋体" w:cs="宋体"/>
          <w:b/>
          <w:color w:val="auto"/>
          <w:kern w:val="0"/>
          <w:sz w:val="32"/>
          <w:szCs w:val="32"/>
          <w:lang w:val="en"/>
        </w:rPr>
      </w:pPr>
      <w:r>
        <w:rPr>
          <w:rFonts w:ascii="宋体" w:hAnsi="宋体" w:cs="宋体"/>
          <w:b/>
          <w:color w:val="auto"/>
          <w:kern w:val="0"/>
          <w:sz w:val="32"/>
          <w:szCs w:val="32"/>
          <w:lang w:val="en"/>
        </w:rPr>
        <w:br w:type="page"/>
      </w:r>
    </w:p>
    <w:p w14:paraId="4C2B2084">
      <w:pPr>
        <w:widowControl/>
        <w:spacing w:before="100" w:beforeAutospacing="1" w:after="100" w:afterAutospacing="1" w:line="384" w:lineRule="auto"/>
        <w:jc w:val="center"/>
        <w:rPr>
          <w:rFonts w:ascii="宋体" w:hAnsi="宋体" w:cs="宋体"/>
          <w:b w:val="0"/>
          <w:bCs/>
          <w:color w:val="auto"/>
          <w:kern w:val="0"/>
          <w:sz w:val="32"/>
          <w:szCs w:val="32"/>
        </w:rPr>
      </w:pPr>
      <w:r>
        <w:rPr>
          <w:rFonts w:ascii="宋体" w:hAnsi="宋体" w:cs="宋体"/>
          <w:b w:val="0"/>
          <w:bCs/>
          <w:color w:val="auto"/>
          <w:kern w:val="0"/>
          <w:sz w:val="32"/>
          <w:szCs w:val="32"/>
          <w:lang w:val="en"/>
        </w:rPr>
        <w:t>本</w:t>
      </w:r>
      <w:r>
        <w:rPr>
          <w:rFonts w:hint="eastAsia" w:ascii="宋体" w:hAnsi="宋体" w:cs="宋体"/>
          <w:b w:val="0"/>
          <w:bCs/>
          <w:color w:val="auto"/>
          <w:kern w:val="0"/>
          <w:sz w:val="32"/>
          <w:szCs w:val="32"/>
          <w:lang w:val="en" w:eastAsia="zh-CN"/>
        </w:rPr>
        <w:t>调查</w:t>
      </w:r>
      <w:r>
        <w:rPr>
          <w:rFonts w:ascii="宋体" w:hAnsi="宋体" w:cs="宋体"/>
          <w:b w:val="0"/>
          <w:bCs/>
          <w:color w:val="auto"/>
          <w:kern w:val="0"/>
          <w:sz w:val="32"/>
          <w:szCs w:val="32"/>
          <w:lang w:val="en"/>
        </w:rPr>
        <w:t>制度</w:t>
      </w:r>
      <w:r>
        <w:rPr>
          <w:rFonts w:hint="eastAsia" w:ascii="宋体" w:hAnsi="宋体" w:cs="宋体"/>
          <w:b w:val="0"/>
          <w:bCs/>
          <w:color w:val="auto"/>
          <w:kern w:val="0"/>
          <w:sz w:val="32"/>
          <w:szCs w:val="32"/>
        </w:rPr>
        <w:t>根据《中华人民共和国统计法》和《对外承包工程管理条例》</w:t>
      </w:r>
      <w:r>
        <w:rPr>
          <w:rFonts w:hint="eastAsia" w:ascii="宋体" w:hAnsi="宋体" w:cs="宋体"/>
          <w:b w:val="0"/>
          <w:bCs/>
          <w:color w:val="auto"/>
          <w:kern w:val="0"/>
          <w:sz w:val="32"/>
          <w:szCs w:val="32"/>
          <w:lang w:eastAsia="zh-CN"/>
        </w:rPr>
        <w:t>的</w:t>
      </w:r>
      <w:r>
        <w:rPr>
          <w:rFonts w:hint="eastAsia" w:ascii="宋体" w:hAnsi="宋体" w:cs="宋体"/>
          <w:b w:val="0"/>
          <w:bCs/>
          <w:color w:val="auto"/>
          <w:kern w:val="0"/>
          <w:sz w:val="32"/>
          <w:szCs w:val="32"/>
        </w:rPr>
        <w:t>有关规定制定</w:t>
      </w:r>
    </w:p>
    <w:p w14:paraId="786E3095">
      <w:pPr>
        <w:widowControl/>
        <w:spacing w:before="0" w:beforeAutospacing="0" w:after="0" w:afterAutospacing="0" w:line="240" w:lineRule="auto"/>
        <w:ind w:firstLine="0" w:firstLineChars="0"/>
        <w:rPr>
          <w:rFonts w:ascii="Calibri" w:hAnsi="Calibri" w:cs="Times New Roman"/>
          <w:color w:val="auto"/>
          <w:kern w:val="2"/>
          <w:sz w:val="21"/>
          <w:szCs w:val="24"/>
        </w:rPr>
      </w:pPr>
    </w:p>
    <w:p w14:paraId="7CC3B7F1">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w:t>
      </w:r>
      <w:r>
        <w:rPr>
          <w:rFonts w:hint="eastAsia" w:ascii="仿宋_GB2312" w:hAnsi="宋体" w:eastAsia="仿宋_GB2312" w:cs="宋体"/>
          <w:bCs/>
          <w:color w:val="auto"/>
          <w:kern w:val="0"/>
          <w:sz w:val="28"/>
          <w:szCs w:val="28"/>
          <w:lang w:eastAsia="zh-CN"/>
        </w:rPr>
        <w:t>八</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r>
        <w:rPr>
          <w:rFonts w:hint="eastAsia" w:ascii="仿宋_GB2312" w:hAnsi="宋体" w:eastAsia="仿宋_GB2312" w:cs="宋体"/>
          <w:bCs/>
          <w:color w:val="auto"/>
          <w:kern w:val="0"/>
          <w:sz w:val="28"/>
          <w:szCs w:val="28"/>
        </w:rPr>
        <w:t>。</w:t>
      </w:r>
    </w:p>
    <w:p w14:paraId="4F073652">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color w:val="auto"/>
          <w:kern w:val="0"/>
          <w:sz w:val="28"/>
          <w:szCs w:val="28"/>
        </w:rPr>
      </w:pPr>
    </w:p>
    <w:p w14:paraId="694044F0">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w:t>
      </w:r>
      <w:r>
        <w:rPr>
          <w:rFonts w:hint="eastAsia" w:ascii="仿宋_GB2312" w:hAnsi="宋体" w:eastAsia="仿宋_GB2312" w:cs="宋体"/>
          <w:bCs/>
          <w:color w:val="auto"/>
          <w:kern w:val="0"/>
          <w:sz w:val="28"/>
          <w:szCs w:val="28"/>
          <w:lang w:eastAsia="zh-CN"/>
        </w:rPr>
        <w:t>十一</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统计机构和统计人员对在统计工作中知悉的国家秘密、工作秘密、商业秘密、个人隐私和个人信息，应当予以保密，不得泄露或者向他人非法提供</w:t>
      </w:r>
      <w:r>
        <w:rPr>
          <w:rFonts w:hint="eastAsia" w:ascii="仿宋_GB2312" w:hAnsi="宋体" w:eastAsia="仿宋_GB2312" w:cs="宋体"/>
          <w:bCs/>
          <w:color w:val="auto"/>
          <w:kern w:val="0"/>
          <w:sz w:val="28"/>
          <w:szCs w:val="28"/>
        </w:rPr>
        <w:t>。</w:t>
      </w:r>
    </w:p>
    <w:p w14:paraId="7F014C7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color w:val="auto"/>
          <w:kern w:val="0"/>
          <w:sz w:val="28"/>
          <w:szCs w:val="28"/>
        </w:rPr>
      </w:pPr>
    </w:p>
    <w:p w14:paraId="373F7630">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《中华人民共和国统计法》第二十</w:t>
      </w:r>
      <w:r>
        <w:rPr>
          <w:rFonts w:hint="eastAsia" w:ascii="仿宋_GB2312" w:hAnsi="宋体" w:eastAsia="仿宋_GB2312" w:cs="宋体"/>
          <w:bCs/>
          <w:color w:val="auto"/>
          <w:kern w:val="0"/>
          <w:sz w:val="28"/>
          <w:szCs w:val="28"/>
          <w:lang w:eastAsia="zh-CN"/>
        </w:rPr>
        <w:t>八</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统计调查中获得的能够识别或者推断单个统计调查对象身份的资料，任何单位和个人不得对外提供、泄露，不得用于统计以外的目的</w:t>
      </w:r>
      <w:r>
        <w:rPr>
          <w:rFonts w:hint="eastAsia" w:ascii="仿宋_GB2312" w:hAnsi="宋体" w:eastAsia="仿宋_GB2312" w:cs="宋体"/>
          <w:bCs/>
          <w:color w:val="auto"/>
          <w:kern w:val="0"/>
          <w:sz w:val="28"/>
          <w:szCs w:val="28"/>
        </w:rPr>
        <w:t>。</w:t>
      </w:r>
    </w:p>
    <w:p w14:paraId="7A185DBB">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38" w:firstLineChars="228"/>
        <w:textAlignment w:val="auto"/>
        <w:rPr>
          <w:rFonts w:hint="eastAsia" w:ascii="仿宋_GB2312" w:hAnsi="宋体" w:eastAsia="仿宋_GB2312" w:cs="宋体"/>
          <w:bCs/>
          <w:color w:val="auto"/>
          <w:kern w:val="0"/>
          <w:sz w:val="28"/>
          <w:szCs w:val="28"/>
        </w:rPr>
      </w:pPr>
    </w:p>
    <w:p w14:paraId="3780B7DB">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《对外承包工程管理条例》第十八条规定，对外承包工程的单位应当定期向商务主管部门报告其开展对外承包工程的情况，并按照国务院商务主管部门和国务院统计部门的规定，向有关部门报送业务统计资料。</w:t>
      </w:r>
    </w:p>
    <w:p w14:paraId="06E2B832">
      <w:pPr>
        <w:widowControl/>
        <w:spacing w:before="100" w:beforeAutospacing="1" w:after="100" w:afterAutospacing="1" w:line="384" w:lineRule="auto"/>
        <w:ind w:firstLine="641" w:firstLineChars="228"/>
        <w:rPr>
          <w:rFonts w:ascii="仿宋_GB2312" w:hAnsi="宋体" w:eastAsia="仿宋_GB2312" w:cs="宋体"/>
          <w:b/>
          <w:color w:val="auto"/>
          <w:kern w:val="0"/>
          <w:sz w:val="28"/>
          <w:szCs w:val="28"/>
        </w:rPr>
      </w:pPr>
    </w:p>
    <w:p w14:paraId="59DB0C1F">
      <w:pPr>
        <w:spacing w:line="400" w:lineRule="exact"/>
        <w:jc w:val="center"/>
        <w:rPr>
          <w:rFonts w:hint="eastAsia" w:ascii="黑体" w:hAnsi="宋体" w:eastAsia="黑体" w:cs="宋体"/>
          <w:color w:val="auto"/>
          <w:kern w:val="0"/>
          <w:sz w:val="32"/>
          <w:szCs w:val="32"/>
        </w:rPr>
      </w:pPr>
      <w:r>
        <w:rPr>
          <w:rFonts w:hint="eastAsia" w:ascii="黑体" w:hAnsi="宋体" w:eastAsia="黑体" w:cs="宋体"/>
          <w:color w:val="auto"/>
          <w:kern w:val="0"/>
          <w:sz w:val="32"/>
          <w:szCs w:val="32"/>
        </w:rPr>
        <w:br w:type="page"/>
      </w:r>
    </w:p>
    <w:p w14:paraId="241E3179">
      <w:pPr>
        <w:spacing w:line="400" w:lineRule="exact"/>
        <w:jc w:val="center"/>
        <w:rPr>
          <w:rFonts w:hint="eastAsia" w:eastAsia="黑体"/>
          <w:color w:val="auto"/>
          <w:sz w:val="32"/>
        </w:rPr>
      </w:pPr>
      <w:r>
        <w:rPr>
          <w:rFonts w:hint="eastAsia" w:eastAsia="黑体"/>
          <w:color w:val="auto"/>
          <w:sz w:val="32"/>
        </w:rPr>
        <w:t>目  录</w:t>
      </w:r>
    </w:p>
    <w:p w14:paraId="16CA38C3">
      <w:pPr>
        <w:pStyle w:val="3"/>
        <w:rPr>
          <w:color w:val="auto"/>
        </w:rPr>
      </w:pPr>
    </w:p>
    <w:p w14:paraId="2D44F458">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TOC \o "1-2" \h \u </w:instrText>
      </w:r>
      <w:r>
        <w:rPr>
          <w:rFonts w:hint="eastAsia" w:ascii="宋体" w:hAnsi="宋体" w:eastAsia="宋体" w:cs="宋体"/>
          <w:color w:val="auto"/>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_Toc476839465 </w:instrText>
      </w:r>
      <w:r>
        <w:rPr>
          <w:rFonts w:hint="eastAsia" w:ascii="宋体" w:hAnsi="宋体" w:eastAsia="宋体" w:cs="宋体"/>
          <w:color w:val="auto"/>
        </w:rPr>
        <w:fldChar w:fldCharType="separate"/>
      </w:r>
      <w:r>
        <w:rPr>
          <w:rFonts w:hint="eastAsia" w:ascii="宋体" w:hAnsi="宋体" w:eastAsia="宋体" w:cs="宋体"/>
          <w:color w:val="auto"/>
        </w:rPr>
        <w:t>一、总说明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_Toc476839465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02CFD1F">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_Toc899255432 </w:instrText>
      </w:r>
      <w:r>
        <w:rPr>
          <w:rFonts w:hint="eastAsia" w:ascii="宋体" w:hAnsi="宋体" w:eastAsia="宋体" w:cs="宋体"/>
          <w:color w:val="auto"/>
        </w:rPr>
        <w:fldChar w:fldCharType="separate"/>
      </w:r>
      <w:r>
        <w:rPr>
          <w:rFonts w:hint="eastAsia" w:ascii="宋体" w:hAnsi="宋体" w:eastAsia="宋体" w:cs="宋体"/>
          <w:bCs w:val="0"/>
          <w:color w:val="auto"/>
          <w:szCs w:val="24"/>
        </w:rPr>
        <w:t>二、</w:t>
      </w:r>
      <w:r>
        <w:rPr>
          <w:rFonts w:hint="eastAsia" w:ascii="宋体" w:hAnsi="宋体" w:eastAsia="宋体" w:cs="宋体"/>
          <w:bCs/>
          <w:color w:val="auto"/>
          <w:szCs w:val="32"/>
        </w:rPr>
        <w:t>报表目录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_Toc899255432 </w:instrText>
      </w:r>
      <w:r>
        <w:rPr>
          <w:rFonts w:hint="eastAsia" w:ascii="宋体" w:hAnsi="宋体" w:eastAsia="宋体" w:cs="宋体"/>
          <w:color w:val="auto"/>
        </w:rPr>
        <w:fldChar w:fldCharType="separate"/>
      </w:r>
      <w:r>
        <w:rPr>
          <w:rFonts w:hint="eastAsia" w:ascii="宋体" w:hAnsi="宋体" w:eastAsia="宋体" w:cs="宋体"/>
          <w:color w:val="auto"/>
        </w:rPr>
        <w:t>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C0C766D">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_Toc676885643 </w:instrText>
      </w:r>
      <w:r>
        <w:rPr>
          <w:rFonts w:hint="eastAsia" w:ascii="宋体" w:hAnsi="宋体" w:eastAsia="宋体" w:cs="宋体"/>
          <w:color w:val="auto"/>
        </w:rPr>
        <w:fldChar w:fldCharType="separate"/>
      </w:r>
      <w:r>
        <w:rPr>
          <w:rFonts w:hint="eastAsia" w:ascii="宋体" w:hAnsi="宋体" w:eastAsia="宋体" w:cs="宋体"/>
          <w:color w:val="auto"/>
          <w:szCs w:val="24"/>
          <w:lang w:eastAsia="zh-CN"/>
        </w:rPr>
        <w:t>三、</w:t>
      </w:r>
      <w:r>
        <w:rPr>
          <w:rFonts w:hint="eastAsia" w:ascii="宋体" w:hAnsi="宋体" w:eastAsia="宋体" w:cs="宋体"/>
          <w:bCs/>
          <w:color w:val="auto"/>
          <w:szCs w:val="32"/>
        </w:rPr>
        <w:t>调查表式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_Toc676885643 </w:instrText>
      </w:r>
      <w:r>
        <w:rPr>
          <w:rFonts w:hint="eastAsia" w:ascii="宋体" w:hAnsi="宋体" w:eastAsia="宋体" w:cs="宋体"/>
          <w:color w:val="auto"/>
        </w:rPr>
        <w:fldChar w:fldCharType="separate"/>
      </w:r>
      <w:r>
        <w:rPr>
          <w:rFonts w:hint="eastAsia" w:ascii="宋体" w:hAnsi="宋体" w:eastAsia="宋体" w:cs="宋体"/>
          <w:color w:val="auto"/>
        </w:rPr>
        <w:t>10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14DC588">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（一）</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_Toc1456415703 </w:instrText>
      </w:r>
      <w:r>
        <w:rPr>
          <w:rFonts w:hint="eastAsia" w:ascii="宋体" w:hAnsi="宋体" w:eastAsia="宋体" w:cs="宋体"/>
          <w:color w:val="auto"/>
        </w:rPr>
        <w:fldChar w:fldCharType="separate"/>
      </w:r>
      <w:r>
        <w:rPr>
          <w:rFonts w:hint="eastAsia" w:ascii="宋体" w:hAnsi="宋体" w:eastAsia="宋体" w:cs="宋体"/>
          <w:bCs w:val="0"/>
          <w:color w:val="auto"/>
          <w:szCs w:val="32"/>
          <w:lang w:val="en-US" w:eastAsia="zh-CN"/>
        </w:rPr>
        <w:t>对外承包工程企业年度经营情况（CBN表）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_Toc1456415703 </w:instrText>
      </w:r>
      <w:r>
        <w:rPr>
          <w:rFonts w:hint="eastAsia" w:ascii="宋体" w:hAnsi="宋体" w:eastAsia="宋体" w:cs="宋体"/>
          <w:color w:val="auto"/>
        </w:rPr>
        <w:fldChar w:fldCharType="separate"/>
      </w:r>
      <w:r>
        <w:rPr>
          <w:rFonts w:hint="eastAsia" w:ascii="宋体" w:hAnsi="宋体" w:eastAsia="宋体" w:cs="宋体"/>
          <w:color w:val="auto"/>
        </w:rPr>
        <w:t>10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FD413F9">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（二）</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_Toc2085912193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总包</w:t>
      </w:r>
      <w:r>
        <w:rPr>
          <w:rFonts w:hint="eastAsia" w:ascii="宋体" w:hAnsi="宋体" w:eastAsia="宋体" w:cs="宋体"/>
          <w:color w:val="auto"/>
          <w:szCs w:val="32"/>
        </w:rPr>
        <w:t>项目</w:t>
      </w:r>
      <w:r>
        <w:rPr>
          <w:rFonts w:hint="eastAsia" w:ascii="宋体" w:hAnsi="宋体" w:eastAsia="宋体" w:cs="宋体"/>
          <w:color w:val="auto"/>
          <w:szCs w:val="32"/>
          <w:lang w:eastAsia="zh-CN"/>
        </w:rPr>
        <w:t>基本信息（</w:t>
      </w:r>
      <w:r>
        <w:rPr>
          <w:rFonts w:hint="eastAsia" w:ascii="宋体" w:hAnsi="宋体" w:eastAsia="宋体" w:cs="宋体"/>
          <w:color w:val="auto"/>
          <w:szCs w:val="32"/>
          <w:lang w:val="en-US" w:eastAsia="zh-CN"/>
        </w:rPr>
        <w:t>CB1表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_Toc2085912193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FE74674">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（三）</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_Toc1669801224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分包</w:t>
      </w:r>
      <w:r>
        <w:rPr>
          <w:rFonts w:hint="eastAsia" w:ascii="宋体" w:hAnsi="宋体" w:eastAsia="宋体" w:cs="宋体"/>
          <w:color w:val="auto"/>
          <w:szCs w:val="32"/>
        </w:rPr>
        <w:t>项目</w:t>
      </w:r>
      <w:r>
        <w:rPr>
          <w:rFonts w:hint="eastAsia" w:ascii="宋体" w:hAnsi="宋体" w:eastAsia="宋体" w:cs="宋体"/>
          <w:color w:val="auto"/>
          <w:szCs w:val="32"/>
          <w:lang w:eastAsia="zh-CN"/>
        </w:rPr>
        <w:t>基本信息（</w:t>
      </w:r>
      <w:r>
        <w:rPr>
          <w:rFonts w:hint="eastAsia" w:ascii="宋体" w:hAnsi="宋体" w:eastAsia="宋体" w:cs="宋体"/>
          <w:color w:val="auto"/>
          <w:szCs w:val="32"/>
          <w:lang w:val="en-US" w:eastAsia="zh-CN"/>
        </w:rPr>
        <w:t>CB2表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_Toc1669801224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498C0F5">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（四）</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_Toc1859762403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总包</w:t>
      </w:r>
      <w:r>
        <w:rPr>
          <w:rFonts w:hint="eastAsia" w:ascii="宋体" w:hAnsi="宋体" w:eastAsia="宋体" w:cs="宋体"/>
          <w:color w:val="auto"/>
          <w:szCs w:val="32"/>
        </w:rPr>
        <w:t>项目</w:t>
      </w:r>
      <w:r>
        <w:rPr>
          <w:rFonts w:hint="eastAsia" w:ascii="宋体" w:hAnsi="宋体" w:eastAsia="宋体" w:cs="宋体"/>
          <w:color w:val="auto"/>
          <w:szCs w:val="32"/>
          <w:lang w:eastAsia="zh-CN"/>
        </w:rPr>
        <w:t>完成情况（</w:t>
      </w:r>
      <w:r>
        <w:rPr>
          <w:rFonts w:hint="eastAsia" w:ascii="宋体" w:hAnsi="宋体" w:eastAsia="宋体" w:cs="宋体"/>
          <w:color w:val="auto"/>
          <w:szCs w:val="32"/>
          <w:lang w:val="en-US" w:eastAsia="zh-CN"/>
        </w:rPr>
        <w:t>CB3表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_Toc1859762403 </w:instrText>
      </w:r>
      <w:r>
        <w:rPr>
          <w:rFonts w:hint="eastAsia" w:ascii="宋体" w:hAnsi="宋体" w:eastAsia="宋体" w:cs="宋体"/>
          <w:color w:val="auto"/>
        </w:rPr>
        <w:fldChar w:fldCharType="separate"/>
      </w:r>
      <w:r>
        <w:rPr>
          <w:rFonts w:hint="eastAsia" w:ascii="宋体" w:hAnsi="宋体" w:eastAsia="宋体" w:cs="宋体"/>
          <w:color w:val="auto"/>
        </w:rPr>
        <w:t>13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7E74EB3">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（五）</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_Toc626785658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分包</w:t>
      </w:r>
      <w:r>
        <w:rPr>
          <w:rFonts w:hint="eastAsia" w:ascii="宋体" w:hAnsi="宋体" w:eastAsia="宋体" w:cs="宋体"/>
          <w:color w:val="auto"/>
          <w:szCs w:val="32"/>
        </w:rPr>
        <w:t>项目</w:t>
      </w:r>
      <w:r>
        <w:rPr>
          <w:rFonts w:hint="eastAsia" w:ascii="宋体" w:hAnsi="宋体" w:eastAsia="宋体" w:cs="宋体"/>
          <w:color w:val="auto"/>
          <w:szCs w:val="32"/>
          <w:lang w:eastAsia="zh-CN"/>
        </w:rPr>
        <w:t>完成情况（</w:t>
      </w:r>
      <w:r>
        <w:rPr>
          <w:rFonts w:hint="eastAsia" w:ascii="宋体" w:hAnsi="宋体" w:eastAsia="宋体" w:cs="宋体"/>
          <w:color w:val="auto"/>
          <w:szCs w:val="32"/>
          <w:lang w:val="en-US" w:eastAsia="zh-CN"/>
        </w:rPr>
        <w:t>CB4表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_Toc626785658 </w:instrText>
      </w:r>
      <w:r>
        <w:rPr>
          <w:rFonts w:hint="eastAsia" w:ascii="宋体" w:hAnsi="宋体" w:eastAsia="宋体" w:cs="宋体"/>
          <w:color w:val="auto"/>
        </w:rPr>
        <w:fldChar w:fldCharType="separate"/>
      </w:r>
      <w:r>
        <w:rPr>
          <w:rFonts w:hint="eastAsia" w:ascii="宋体" w:hAnsi="宋体" w:eastAsia="宋体" w:cs="宋体"/>
          <w:color w:val="auto"/>
        </w:rPr>
        <w:t>14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8DA7752">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（六）</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_Toc1199978393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项目中方人员构成及变化情况（</w:t>
      </w:r>
      <w:r>
        <w:rPr>
          <w:rFonts w:hint="eastAsia" w:ascii="宋体" w:hAnsi="宋体" w:eastAsia="宋体" w:cs="宋体"/>
          <w:color w:val="auto"/>
          <w:szCs w:val="32"/>
          <w:lang w:val="en-US" w:eastAsia="zh-CN"/>
        </w:rPr>
        <w:t>CB5表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_Toc1199978393 </w:instrText>
      </w:r>
      <w:r>
        <w:rPr>
          <w:rFonts w:hint="eastAsia" w:ascii="宋体" w:hAnsi="宋体" w:eastAsia="宋体" w:cs="宋体"/>
          <w:color w:val="auto"/>
        </w:rPr>
        <w:fldChar w:fldCharType="separate"/>
      </w:r>
      <w:r>
        <w:rPr>
          <w:rFonts w:hint="eastAsia" w:ascii="宋体" w:hAnsi="宋体" w:eastAsia="宋体" w:cs="宋体"/>
          <w:color w:val="auto"/>
        </w:rPr>
        <w:t>15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FCF3064">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_Toc495119377 </w:instrText>
      </w:r>
      <w:r>
        <w:rPr>
          <w:rFonts w:hint="eastAsia" w:ascii="宋体" w:hAnsi="宋体" w:eastAsia="宋体" w:cs="宋体"/>
          <w:color w:val="auto"/>
        </w:rPr>
        <w:fldChar w:fldCharType="separate"/>
      </w:r>
      <w:r>
        <w:rPr>
          <w:rFonts w:hint="eastAsia" w:ascii="宋体" w:hAnsi="宋体" w:eastAsia="宋体" w:cs="宋体"/>
          <w:color w:val="auto"/>
          <w:kern w:val="2"/>
          <w:szCs w:val="32"/>
          <w:lang w:eastAsia="zh-CN"/>
        </w:rPr>
        <w:t>四、</w:t>
      </w:r>
      <w:r>
        <w:rPr>
          <w:rFonts w:hint="eastAsia" w:ascii="宋体" w:hAnsi="宋体" w:eastAsia="宋体" w:cs="宋体"/>
          <w:color w:val="auto"/>
          <w:szCs w:val="32"/>
        </w:rPr>
        <w:t>主要指标解释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_Toc495119377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C40B126">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_Toc805365395 </w:instrText>
      </w:r>
      <w:r>
        <w:rPr>
          <w:rFonts w:hint="eastAsia" w:ascii="宋体" w:hAnsi="宋体" w:eastAsia="宋体" w:cs="宋体"/>
          <w:color w:val="auto"/>
        </w:rPr>
        <w:fldChar w:fldCharType="separate"/>
      </w:r>
      <w:r>
        <w:rPr>
          <w:rFonts w:hint="eastAsia" w:ascii="宋体" w:hAnsi="宋体" w:eastAsia="宋体" w:cs="宋体"/>
          <w:bCs/>
          <w:color w:val="auto"/>
          <w:kern w:val="0"/>
          <w:szCs w:val="32"/>
        </w:rPr>
        <w:t>五、附录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_Toc805365395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7FC085E">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_Toc505157244 </w:instrText>
      </w:r>
      <w:r>
        <w:rPr>
          <w:rFonts w:hint="eastAsia" w:ascii="宋体" w:hAnsi="宋体" w:eastAsia="宋体" w:cs="宋体"/>
          <w:color w:val="auto"/>
        </w:rPr>
        <w:fldChar w:fldCharType="separate"/>
      </w:r>
      <w:r>
        <w:rPr>
          <w:rFonts w:hint="eastAsia" w:ascii="宋体" w:hAnsi="宋体" w:eastAsia="宋体" w:cs="宋体"/>
          <w:color w:val="auto"/>
          <w:kern w:val="0"/>
          <w:szCs w:val="32"/>
        </w:rPr>
        <w:t>（一）对外承包工程项目分类</w:t>
      </w:r>
      <w:r>
        <w:rPr>
          <w:rFonts w:hint="eastAsia" w:ascii="宋体" w:hAnsi="宋体" w:eastAsia="宋体" w:cs="宋体"/>
          <w:color w:val="auto"/>
        </w:rPr>
        <w:fldChar w:fldCharType="end"/>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_Toc813450120 </w:instrText>
      </w:r>
      <w:r>
        <w:rPr>
          <w:rFonts w:hint="eastAsia" w:ascii="宋体" w:hAnsi="宋体" w:eastAsia="宋体" w:cs="宋体"/>
          <w:color w:val="auto"/>
        </w:rPr>
        <w:fldChar w:fldCharType="separate"/>
      </w:r>
      <w:r>
        <w:rPr>
          <w:rFonts w:hint="eastAsia" w:ascii="宋体" w:hAnsi="宋体" w:eastAsia="宋体" w:cs="宋体"/>
          <w:bCs/>
          <w:color w:val="auto"/>
          <w:kern w:val="0"/>
          <w:szCs w:val="21"/>
        </w:rPr>
        <w:t>（标准参照：国际工程新闻记录）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_Toc813450120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8A5B652">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_Toc687685172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（二）</w:t>
      </w:r>
      <w:r>
        <w:rPr>
          <w:rFonts w:hint="eastAsia" w:ascii="宋体" w:hAnsi="宋体" w:eastAsia="宋体" w:cs="宋体"/>
          <w:bCs/>
          <w:color w:val="auto"/>
          <w:szCs w:val="32"/>
        </w:rPr>
        <w:t>国民经济行业分类目录（GB/T 4754-2017）</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_Toc687685172 </w:instrText>
      </w:r>
      <w:r>
        <w:rPr>
          <w:rFonts w:hint="eastAsia" w:ascii="宋体" w:hAnsi="宋体" w:eastAsia="宋体" w:cs="宋体"/>
          <w:color w:val="auto"/>
        </w:rPr>
        <w:fldChar w:fldCharType="separate"/>
      </w:r>
      <w:r>
        <w:rPr>
          <w:rFonts w:hint="eastAsia" w:ascii="宋体" w:hAnsi="宋体" w:eastAsia="宋体" w:cs="宋体"/>
          <w:color w:val="auto"/>
        </w:rPr>
        <w:t>22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71B919D">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_Toc49818016 </w:instrText>
      </w:r>
      <w:r>
        <w:rPr>
          <w:rFonts w:hint="eastAsia" w:ascii="宋体" w:hAnsi="宋体" w:eastAsia="宋体" w:cs="宋体"/>
          <w:color w:val="auto"/>
        </w:rPr>
        <w:fldChar w:fldCharType="separate"/>
      </w:r>
      <w:r>
        <w:rPr>
          <w:rFonts w:hint="eastAsia" w:ascii="宋体" w:hAnsi="宋体" w:eastAsia="宋体" w:cs="宋体"/>
          <w:bCs/>
          <w:color w:val="auto"/>
          <w:szCs w:val="32"/>
          <w:highlight w:val="none"/>
          <w:lang w:eastAsia="zh-CN"/>
        </w:rPr>
        <w:t>（三）</w:t>
      </w:r>
      <w:r>
        <w:rPr>
          <w:rFonts w:hint="eastAsia" w:ascii="宋体" w:hAnsi="宋体" w:eastAsia="宋体" w:cs="宋体"/>
          <w:bCs/>
          <w:color w:val="auto"/>
          <w:szCs w:val="32"/>
          <w:highlight w:val="none"/>
        </w:rPr>
        <w:t>节能环保清洁类项目界定</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_Toc49818016 </w:instrText>
      </w:r>
      <w:r>
        <w:rPr>
          <w:rFonts w:hint="eastAsia" w:ascii="宋体" w:hAnsi="宋体" w:eastAsia="宋体" w:cs="宋体"/>
          <w:color w:val="auto"/>
        </w:rPr>
        <w:fldChar w:fldCharType="separate"/>
      </w:r>
      <w:r>
        <w:rPr>
          <w:rFonts w:hint="eastAsia" w:ascii="宋体" w:hAnsi="宋体" w:eastAsia="宋体" w:cs="宋体"/>
          <w:color w:val="auto"/>
        </w:rPr>
        <w:t>23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FE6E2A6">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_Toc260182491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（四）关于统计上对公有和非公有控股经济的分类办法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_Toc260182491 </w:instrText>
      </w:r>
      <w:r>
        <w:rPr>
          <w:rFonts w:hint="eastAsia" w:ascii="宋体" w:hAnsi="宋体" w:eastAsia="宋体" w:cs="宋体"/>
          <w:color w:val="auto"/>
        </w:rPr>
        <w:fldChar w:fldCharType="separate"/>
      </w:r>
      <w:r>
        <w:rPr>
          <w:rFonts w:hint="eastAsia" w:ascii="宋体" w:hAnsi="宋体" w:eastAsia="宋体" w:cs="宋体"/>
          <w:color w:val="auto"/>
        </w:rPr>
        <w:t>24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FC6F884">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_Toc1338438746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（五）向国家统计局提供的统计资料清单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_Toc1338438746 </w:instrText>
      </w:r>
      <w:r>
        <w:rPr>
          <w:rFonts w:hint="eastAsia" w:ascii="宋体" w:hAnsi="宋体" w:eastAsia="宋体" w:cs="宋体"/>
          <w:color w:val="auto"/>
        </w:rPr>
        <w:fldChar w:fldCharType="separate"/>
      </w:r>
      <w:r>
        <w:rPr>
          <w:rFonts w:hint="eastAsia" w:ascii="宋体" w:hAnsi="宋体" w:eastAsia="宋体" w:cs="宋体"/>
          <w:color w:val="auto"/>
        </w:rPr>
        <w:t>25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29CA27C">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_Toc807255681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（六）向统计信息共享数据库提供的统计资料清单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_Toc807255681 </w:instrText>
      </w:r>
      <w:r>
        <w:rPr>
          <w:rFonts w:hint="eastAsia" w:ascii="宋体" w:hAnsi="宋体" w:eastAsia="宋体" w:cs="宋体"/>
          <w:color w:val="auto"/>
        </w:rPr>
        <w:fldChar w:fldCharType="separate"/>
      </w:r>
      <w:r>
        <w:rPr>
          <w:rFonts w:hint="eastAsia" w:ascii="宋体" w:hAnsi="宋体" w:eastAsia="宋体" w:cs="宋体"/>
          <w:color w:val="auto"/>
        </w:rPr>
        <w:t>25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0D709569">
      <w:pPr>
        <w:pStyle w:val="8"/>
        <w:keepNext w:val="0"/>
        <w:keepLines w:val="0"/>
        <w:pageBreakBefore w:val="0"/>
        <w:widowControl w:val="0"/>
        <w:tabs>
          <w:tab w:val="right" w:leader="dot" w:pos="9468"/>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r>
        <w:rPr>
          <w:rFonts w:hint="eastAsia" w:ascii="宋体" w:hAnsi="宋体" w:eastAsia="宋体" w:cs="宋体"/>
          <w:color w:val="auto"/>
        </w:rPr>
        <w:fldChar w:fldCharType="end"/>
      </w:r>
    </w:p>
    <w:p w14:paraId="41B43B19">
      <w:pPr>
        <w:spacing w:line="400" w:lineRule="exact"/>
        <w:jc w:val="center"/>
        <w:outlineLvl w:val="0"/>
        <w:rPr>
          <w:rFonts w:eastAsia="黑体"/>
          <w:color w:val="auto"/>
          <w:sz w:val="32"/>
        </w:rPr>
      </w:pPr>
      <w:bookmarkStart w:id="3" w:name="_Toc1144578096"/>
      <w:bookmarkStart w:id="4" w:name="_Toc1398868599"/>
      <w:r>
        <w:rPr>
          <w:rFonts w:hint="eastAsia" w:ascii="黑体" w:hAnsi="宋体" w:eastAsia="黑体" w:cs="宋体"/>
          <w:color w:val="auto"/>
          <w:kern w:val="0"/>
          <w:sz w:val="32"/>
          <w:szCs w:val="32"/>
        </w:rPr>
        <w:br w:type="page"/>
      </w:r>
      <w:bookmarkEnd w:id="3"/>
      <w:bookmarkEnd w:id="4"/>
      <w:bookmarkStart w:id="5" w:name="_Toc476839465"/>
      <w:r>
        <w:rPr>
          <w:rFonts w:hint="eastAsia" w:eastAsia="黑体"/>
          <w:color w:val="auto"/>
          <w:sz w:val="32"/>
        </w:rPr>
        <w:t>一、总</w:t>
      </w:r>
      <w:r>
        <w:rPr>
          <w:rFonts w:eastAsia="黑体"/>
          <w:color w:val="auto"/>
          <w:sz w:val="32"/>
        </w:rPr>
        <w:t xml:space="preserve"> </w:t>
      </w:r>
      <w:r>
        <w:rPr>
          <w:rFonts w:hint="eastAsia" w:eastAsia="黑体"/>
          <w:color w:val="auto"/>
          <w:sz w:val="32"/>
        </w:rPr>
        <w:t>说</w:t>
      </w:r>
      <w:r>
        <w:rPr>
          <w:rFonts w:eastAsia="黑体"/>
          <w:color w:val="auto"/>
          <w:sz w:val="32"/>
        </w:rPr>
        <w:t xml:space="preserve"> </w:t>
      </w:r>
      <w:r>
        <w:rPr>
          <w:rFonts w:hint="eastAsia" w:eastAsia="黑体"/>
          <w:color w:val="auto"/>
          <w:sz w:val="32"/>
        </w:rPr>
        <w:t>明</w:t>
      </w:r>
      <w:bookmarkEnd w:id="5"/>
    </w:p>
    <w:p w14:paraId="2D805C1D">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p>
    <w:p w14:paraId="4004DF0C">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（一）调查目的</w:t>
      </w:r>
    </w:p>
    <w:p w14:paraId="466A5162">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color w:val="auto"/>
        </w:rPr>
      </w:pPr>
      <w:r>
        <w:rPr>
          <w:rFonts w:hint="eastAsia" w:ascii="宋体" w:hAnsi="宋体" w:eastAsia="宋体" w:cs="宋体"/>
          <w:bCs/>
          <w:color w:val="auto"/>
          <w:kern w:val="0"/>
          <w:szCs w:val="21"/>
        </w:rPr>
        <w:t>为科学、有效地组织全国对外承包工程业务统计工作，</w:t>
      </w:r>
      <w:r>
        <w:rPr>
          <w:rFonts w:hint="eastAsia" w:ascii="宋体" w:hAnsi="宋体" w:eastAsia="宋体" w:cs="宋体"/>
          <w:bCs/>
          <w:color w:val="auto"/>
          <w:kern w:val="0"/>
          <w:szCs w:val="21"/>
          <w:highlight w:val="none"/>
        </w:rPr>
        <w:t>保障统计资料的</w:t>
      </w:r>
      <w:r>
        <w:rPr>
          <w:rFonts w:hint="eastAsia" w:ascii="宋体" w:hAnsi="宋体" w:eastAsia="宋体" w:cs="宋体"/>
          <w:bCs/>
          <w:color w:val="auto"/>
          <w:kern w:val="0"/>
          <w:szCs w:val="21"/>
          <w:highlight w:val="none"/>
          <w:lang w:eastAsia="zh-CN"/>
        </w:rPr>
        <w:t>真实性、完整性、</w:t>
      </w:r>
      <w:r>
        <w:rPr>
          <w:rFonts w:hint="eastAsia" w:ascii="宋体" w:hAnsi="宋体" w:eastAsia="宋体" w:cs="宋体"/>
          <w:bCs/>
          <w:color w:val="auto"/>
          <w:kern w:val="0"/>
          <w:szCs w:val="21"/>
          <w:highlight w:val="none"/>
        </w:rPr>
        <w:t>准确性</w:t>
      </w:r>
      <w:r>
        <w:rPr>
          <w:rFonts w:hint="eastAsia" w:ascii="宋体" w:hAnsi="宋体" w:eastAsia="宋体" w:cs="宋体"/>
          <w:bCs/>
          <w:color w:val="auto"/>
          <w:kern w:val="0"/>
          <w:szCs w:val="21"/>
          <w:highlight w:val="none"/>
          <w:lang w:eastAsia="zh-CN"/>
        </w:rPr>
        <w:t>和</w:t>
      </w:r>
      <w:r>
        <w:rPr>
          <w:rFonts w:hint="eastAsia" w:ascii="宋体" w:hAnsi="宋体" w:eastAsia="宋体" w:cs="宋体"/>
          <w:bCs/>
          <w:color w:val="auto"/>
          <w:kern w:val="0"/>
          <w:szCs w:val="21"/>
          <w:highlight w:val="none"/>
        </w:rPr>
        <w:t>及时性，充分发挥统计信息、咨询、监督作用，依照《中华人民共和国统计法》（以下简称《统计法》）、《中华人民共和国统计法实施条例》</w:t>
      </w:r>
      <w:r>
        <w:rPr>
          <w:rFonts w:hint="eastAsia" w:ascii="宋体" w:cs="宋体"/>
          <w:bCs/>
          <w:color w:val="auto"/>
          <w:kern w:val="0"/>
          <w:szCs w:val="21"/>
          <w:highlight w:val="none"/>
          <w:lang w:eastAsia="zh-CN"/>
        </w:rPr>
        <w:t>以及</w:t>
      </w:r>
      <w:r>
        <w:rPr>
          <w:rFonts w:hint="eastAsia" w:ascii="宋体" w:hAnsi="宋体" w:eastAsia="宋体" w:cs="宋体"/>
          <w:bCs/>
          <w:color w:val="auto"/>
          <w:kern w:val="0"/>
          <w:szCs w:val="21"/>
          <w:highlight w:val="none"/>
        </w:rPr>
        <w:t>《对外承包工程管理条例》特制定本制度。对外承包工程业务统计的基本任务是通过统计调查、统计分析和提供统计资料，真实、完整、准确、及时</w:t>
      </w:r>
      <w:r>
        <w:rPr>
          <w:rFonts w:hint="eastAsia" w:ascii="宋体" w:cs="宋体"/>
          <w:bCs/>
          <w:color w:val="auto"/>
          <w:kern w:val="0"/>
          <w:szCs w:val="21"/>
          <w:highlight w:val="none"/>
          <w:lang w:eastAsia="zh-CN"/>
        </w:rPr>
        <w:t>地</w:t>
      </w:r>
      <w:r>
        <w:rPr>
          <w:rFonts w:hint="eastAsia" w:ascii="宋体" w:hAnsi="宋体" w:eastAsia="宋体" w:cs="宋体"/>
          <w:bCs/>
          <w:color w:val="auto"/>
          <w:kern w:val="0"/>
          <w:szCs w:val="21"/>
          <w:highlight w:val="none"/>
        </w:rPr>
        <w:t>反映</w:t>
      </w:r>
      <w:r>
        <w:rPr>
          <w:rFonts w:hint="eastAsia" w:ascii="宋体" w:cs="宋体"/>
          <w:bCs/>
          <w:color w:val="auto"/>
          <w:kern w:val="0"/>
          <w:szCs w:val="21"/>
          <w:highlight w:val="none"/>
          <w:lang w:eastAsia="zh-CN"/>
        </w:rPr>
        <w:t>我国</w:t>
      </w:r>
      <w:r>
        <w:rPr>
          <w:rFonts w:hint="eastAsia" w:ascii="宋体" w:hAnsi="宋体" w:eastAsia="宋体" w:cs="宋体"/>
          <w:bCs/>
          <w:color w:val="auto"/>
          <w:kern w:val="0"/>
          <w:szCs w:val="21"/>
          <w:highlight w:val="none"/>
        </w:rPr>
        <w:t>对外</w:t>
      </w:r>
      <w:r>
        <w:rPr>
          <w:rFonts w:hint="eastAsia" w:ascii="宋体" w:hAnsi="宋体" w:eastAsia="宋体" w:cs="宋体"/>
          <w:bCs/>
          <w:color w:val="auto"/>
          <w:kern w:val="0"/>
          <w:szCs w:val="21"/>
        </w:rPr>
        <w:t>承包工程业务实际情况，为有关部门制订方针、政策提供可靠的数据支持，是我国涉外经济统计的重要组成部分。</w:t>
      </w:r>
    </w:p>
    <w:p w14:paraId="2B11D315">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（二）调查对象</w:t>
      </w:r>
    </w:p>
    <w:p w14:paraId="50FF713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color w:val="auto"/>
        </w:rPr>
      </w:pPr>
      <w:r>
        <w:rPr>
          <w:rFonts w:hint="eastAsia" w:ascii="宋体" w:hAnsi="宋体" w:eastAsia="宋体" w:cs="宋体"/>
          <w:bCs/>
          <w:color w:val="auto"/>
          <w:kern w:val="0"/>
          <w:szCs w:val="21"/>
        </w:rPr>
        <w:t>所有发生对外承包工程业务的中国企业和单位。</w:t>
      </w:r>
    </w:p>
    <w:p w14:paraId="27B09363">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（三）统计范围</w:t>
      </w:r>
    </w:p>
    <w:p w14:paraId="60B34395">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对外承包工程指中国的企业或者其他单位承包境外建设工程项目的活动。本制度适用于我国境内的各级商务主管部门和发生对外承包工程业务的企业或单位（以下简称企业）。</w:t>
      </w:r>
    </w:p>
    <w:p w14:paraId="41F0E977">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企业承揽的下列业务纳入对外承包工程业务统计：</w:t>
      </w:r>
    </w:p>
    <w:p w14:paraId="7972235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 xml:space="preserve">（1）承包国（境）外工程项目。指企业按照国际通行做法，在国外及港澳台地区承揽和实施的各类工程项目。 </w:t>
      </w:r>
    </w:p>
    <w:p w14:paraId="5F5BC537">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（2）承包我国对外经济援助项目。指企业以投标、议标等方式承揽和实施的我国对外经济援助项目。</w:t>
      </w:r>
    </w:p>
    <w:p w14:paraId="2EBD5B9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（3）承包我国驻外机构工程项目。指企业以投标、议标等方式承揽和实施的我国驻外使（领）馆等工程项目。</w:t>
      </w:r>
    </w:p>
    <w:p w14:paraId="29B68D0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（4）企业自带设备，以收取设备使用费、技术服务费等形式承揽和实施的国外及港澳台地区工程项目。</w:t>
      </w:r>
    </w:p>
    <w:p w14:paraId="67947F6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（5）企业为实施承包工程项目出口的大型成套和机电设备，并负责安装和调试。</w:t>
      </w:r>
    </w:p>
    <w:p w14:paraId="1B41D65E">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6）企业为境外投资建设项目提供咨询和管理服务，开展相关规划、咨询、勘察、设计、造价、监理、项目管理和运营维护等活动。包括在国外及港澳台地区承担地形地貌测绘，地质资源普查与勘探，建设区域规划，工程设计、生产工艺、技术资料和工程技术咨询，工程项目的可行性考察、研究和评估，工程监理，技术指导、项目运维等经济活动。</w:t>
      </w:r>
    </w:p>
    <w:p w14:paraId="0580AC10">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企业在国（境）外</w:t>
      </w:r>
      <w:r>
        <w:rPr>
          <w:rFonts w:hint="eastAsia" w:ascii="宋体" w:hAnsi="宋体" w:eastAsia="宋体" w:cs="宋体"/>
          <w:bCs/>
          <w:color w:val="auto"/>
          <w:kern w:val="0"/>
          <w:szCs w:val="21"/>
          <w:highlight w:val="none"/>
          <w:lang w:eastAsia="zh-CN"/>
        </w:rPr>
        <w:t>投资</w:t>
      </w:r>
      <w:r>
        <w:rPr>
          <w:rFonts w:hint="eastAsia" w:ascii="宋体" w:hAnsi="宋体" w:eastAsia="宋体" w:cs="宋体"/>
          <w:bCs/>
          <w:color w:val="auto"/>
          <w:kern w:val="0"/>
          <w:szCs w:val="21"/>
          <w:highlight w:val="none"/>
        </w:rPr>
        <w:t>设立的境外企业承揽的符合上述</w:t>
      </w:r>
      <w:r>
        <w:rPr>
          <w:rFonts w:hint="eastAsia" w:ascii="宋体" w:cs="宋体"/>
          <w:bCs/>
          <w:color w:val="auto"/>
          <w:kern w:val="0"/>
          <w:szCs w:val="21"/>
          <w:highlight w:val="none"/>
          <w:lang w:val="en-US" w:eastAsia="zh-CN"/>
        </w:rPr>
        <w:t>第2条</w:t>
      </w:r>
      <w:r>
        <w:rPr>
          <w:rFonts w:hint="eastAsia" w:ascii="宋体" w:hAnsi="宋体" w:eastAsia="宋体" w:cs="宋体"/>
          <w:bCs/>
          <w:color w:val="auto"/>
          <w:kern w:val="0"/>
          <w:szCs w:val="21"/>
          <w:highlight w:val="none"/>
        </w:rPr>
        <w:t>规定的项目纳入</w:t>
      </w:r>
      <w:r>
        <w:rPr>
          <w:rFonts w:hint="eastAsia" w:ascii="宋体" w:hAnsi="宋体" w:eastAsia="宋体" w:cs="宋体"/>
          <w:bCs/>
          <w:color w:val="auto"/>
          <w:kern w:val="0"/>
          <w:szCs w:val="21"/>
          <w:highlight w:val="none"/>
          <w:lang w:eastAsia="zh-CN"/>
        </w:rPr>
        <w:t>对外</w:t>
      </w:r>
      <w:r>
        <w:rPr>
          <w:rFonts w:hint="eastAsia" w:ascii="宋体" w:hAnsi="宋体" w:eastAsia="宋体" w:cs="宋体"/>
          <w:bCs/>
          <w:color w:val="auto"/>
          <w:kern w:val="0"/>
          <w:szCs w:val="21"/>
          <w:highlight w:val="none"/>
        </w:rPr>
        <w:t>承包工程统计。</w:t>
      </w:r>
    </w:p>
    <w:p w14:paraId="4D2D10B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（四）调查内容</w:t>
      </w:r>
    </w:p>
    <w:p w14:paraId="11523ACA">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color w:val="auto"/>
        </w:rPr>
      </w:pPr>
      <w:r>
        <w:rPr>
          <w:rFonts w:hint="eastAsia" w:ascii="宋体" w:hAnsi="宋体" w:eastAsia="宋体" w:cs="宋体"/>
          <w:color w:val="auto"/>
        </w:rPr>
        <w:t>对外承包工程业务统计报表包括对外承包工程</w:t>
      </w:r>
      <w:r>
        <w:rPr>
          <w:rFonts w:hint="eastAsia" w:ascii="宋体" w:hAnsi="宋体" w:eastAsia="宋体" w:cs="宋体"/>
          <w:color w:val="auto"/>
          <w:lang w:eastAsia="zh-CN"/>
        </w:rPr>
        <w:t>企业年度经营情况</w:t>
      </w:r>
      <w:r>
        <w:rPr>
          <w:rFonts w:hint="eastAsia" w:ascii="宋体" w:hAnsi="宋体" w:eastAsia="宋体" w:cs="宋体"/>
          <w:color w:val="auto"/>
        </w:rPr>
        <w:t>（CB</w:t>
      </w:r>
      <w:r>
        <w:rPr>
          <w:rFonts w:hint="eastAsia" w:ascii="宋体" w:hAnsi="宋体" w:eastAsia="宋体" w:cs="宋体"/>
          <w:color w:val="auto"/>
          <w:lang w:val="en-US" w:eastAsia="zh-CN"/>
        </w:rPr>
        <w:t>N表</w:t>
      </w:r>
      <w:r>
        <w:rPr>
          <w:rFonts w:hint="eastAsia" w:ascii="宋体" w:hAnsi="宋体" w:eastAsia="宋体" w:cs="宋体"/>
          <w:color w:val="auto"/>
        </w:rPr>
        <w:t>）、对外承包工程</w:t>
      </w:r>
      <w:r>
        <w:rPr>
          <w:rFonts w:hint="eastAsia" w:ascii="宋体" w:hAnsi="宋体" w:eastAsia="宋体" w:cs="宋体"/>
          <w:color w:val="auto"/>
          <w:lang w:eastAsia="zh-CN"/>
        </w:rPr>
        <w:t>总包</w:t>
      </w:r>
      <w:r>
        <w:rPr>
          <w:rFonts w:hint="eastAsia" w:ascii="宋体" w:hAnsi="宋体" w:eastAsia="宋体" w:cs="宋体"/>
          <w:color w:val="auto"/>
        </w:rPr>
        <w:t>项目</w:t>
      </w:r>
      <w:r>
        <w:rPr>
          <w:rFonts w:hint="eastAsia" w:ascii="宋体" w:hAnsi="宋体" w:eastAsia="宋体" w:cs="宋体"/>
          <w:color w:val="auto"/>
          <w:lang w:eastAsia="zh-CN"/>
        </w:rPr>
        <w:t>基本</w:t>
      </w:r>
      <w:r>
        <w:rPr>
          <w:rFonts w:hint="eastAsia" w:ascii="宋体" w:hAnsi="宋体" w:cs="宋体"/>
          <w:color w:val="auto"/>
          <w:lang w:eastAsia="zh-CN"/>
        </w:rPr>
        <w:t>信息</w:t>
      </w:r>
      <w:r>
        <w:rPr>
          <w:rFonts w:hint="eastAsia" w:ascii="宋体" w:hAnsi="宋体" w:eastAsia="宋体" w:cs="宋体"/>
          <w:color w:val="auto"/>
        </w:rPr>
        <w:t>（CB</w:t>
      </w:r>
      <w:r>
        <w:rPr>
          <w:rFonts w:hint="eastAsia" w:ascii="宋体" w:hAnsi="宋体" w:eastAsia="宋体" w:cs="宋体"/>
          <w:color w:val="auto"/>
          <w:lang w:val="en-US" w:eastAsia="zh-CN"/>
        </w:rPr>
        <w:t>1</w:t>
      </w:r>
      <w:r>
        <w:rPr>
          <w:rFonts w:hint="eastAsia" w:ascii="宋体" w:hAnsi="宋体" w:eastAsia="宋体" w:cs="宋体"/>
          <w:color w:val="auto"/>
          <w:lang w:eastAsia="zh-CN"/>
        </w:rPr>
        <w:t>表</w:t>
      </w:r>
      <w:r>
        <w:rPr>
          <w:rFonts w:hint="eastAsia" w:ascii="宋体" w:hAnsi="宋体" w:eastAsia="宋体" w:cs="宋体"/>
          <w:color w:val="auto"/>
        </w:rPr>
        <w:t>）、对外承包工程</w:t>
      </w:r>
      <w:r>
        <w:rPr>
          <w:rFonts w:hint="eastAsia" w:ascii="宋体" w:hAnsi="宋体" w:eastAsia="宋体" w:cs="宋体"/>
          <w:color w:val="auto"/>
          <w:lang w:eastAsia="zh-CN"/>
        </w:rPr>
        <w:t>分包</w:t>
      </w:r>
      <w:r>
        <w:rPr>
          <w:rFonts w:hint="eastAsia" w:ascii="宋体" w:hAnsi="宋体" w:eastAsia="宋体" w:cs="宋体"/>
          <w:color w:val="auto"/>
        </w:rPr>
        <w:t>项目</w:t>
      </w:r>
      <w:r>
        <w:rPr>
          <w:rFonts w:hint="eastAsia" w:ascii="宋体" w:hAnsi="宋体" w:eastAsia="宋体" w:cs="宋体"/>
          <w:color w:val="auto"/>
          <w:lang w:eastAsia="zh-CN"/>
        </w:rPr>
        <w:t>基本</w:t>
      </w:r>
      <w:r>
        <w:rPr>
          <w:rFonts w:hint="eastAsia" w:ascii="宋体" w:hAnsi="宋体" w:cs="宋体"/>
          <w:color w:val="auto"/>
          <w:lang w:eastAsia="zh-CN"/>
        </w:rPr>
        <w:t>信息</w:t>
      </w:r>
      <w:r>
        <w:rPr>
          <w:rFonts w:hint="eastAsia" w:ascii="宋体" w:hAnsi="宋体" w:eastAsia="宋体" w:cs="宋体"/>
          <w:color w:val="auto"/>
          <w:szCs w:val="21"/>
        </w:rPr>
        <w:t>（</w:t>
      </w:r>
      <w:r>
        <w:rPr>
          <w:rFonts w:hint="eastAsia" w:ascii="宋体" w:hAnsi="宋体" w:eastAsia="宋体" w:cs="宋体"/>
          <w:color w:val="auto"/>
        </w:rPr>
        <w:t>CB</w:t>
      </w:r>
      <w:r>
        <w:rPr>
          <w:rFonts w:hint="eastAsia" w:ascii="宋体" w:hAnsi="宋体" w:eastAsia="宋体" w:cs="宋体"/>
          <w:color w:val="auto"/>
          <w:lang w:val="en-US" w:eastAsia="zh-CN"/>
        </w:rPr>
        <w:t>2表</w:t>
      </w:r>
      <w:r>
        <w:rPr>
          <w:rFonts w:hint="eastAsia" w:ascii="宋体" w:hAnsi="宋体" w:eastAsia="宋体" w:cs="宋体"/>
          <w:color w:val="auto"/>
          <w:szCs w:val="21"/>
        </w:rPr>
        <w:t>）、</w:t>
      </w:r>
      <w:r>
        <w:rPr>
          <w:rFonts w:hint="eastAsia" w:ascii="宋体" w:hAnsi="宋体" w:eastAsia="宋体" w:cs="宋体"/>
          <w:color w:val="auto"/>
        </w:rPr>
        <w:t>对外承包工程</w:t>
      </w:r>
      <w:r>
        <w:rPr>
          <w:rFonts w:hint="eastAsia" w:ascii="宋体" w:hAnsi="宋体" w:eastAsia="宋体" w:cs="宋体"/>
          <w:color w:val="auto"/>
          <w:lang w:eastAsia="zh-CN"/>
        </w:rPr>
        <w:t>总包</w:t>
      </w:r>
      <w:r>
        <w:rPr>
          <w:rFonts w:hint="eastAsia" w:ascii="宋体" w:hAnsi="宋体" w:eastAsia="宋体" w:cs="宋体"/>
          <w:color w:val="auto"/>
        </w:rPr>
        <w:t>项目</w:t>
      </w:r>
      <w:r>
        <w:rPr>
          <w:rFonts w:hint="eastAsia" w:ascii="宋体" w:hAnsi="宋体" w:cs="宋体"/>
          <w:color w:val="auto"/>
          <w:lang w:eastAsia="zh-CN"/>
        </w:rPr>
        <w:t>完成</w:t>
      </w:r>
      <w:r>
        <w:rPr>
          <w:rFonts w:hint="eastAsia" w:ascii="宋体" w:hAnsi="宋体" w:eastAsia="宋体" w:cs="宋体"/>
          <w:color w:val="auto"/>
          <w:lang w:eastAsia="zh-CN"/>
        </w:rPr>
        <w:t>情况</w:t>
      </w:r>
      <w:r>
        <w:rPr>
          <w:rFonts w:hint="eastAsia" w:ascii="宋体" w:hAnsi="宋体" w:eastAsia="宋体" w:cs="宋体"/>
          <w:bCs/>
          <w:color w:val="auto"/>
          <w:szCs w:val="21"/>
        </w:rPr>
        <w:t>（</w:t>
      </w:r>
      <w:r>
        <w:rPr>
          <w:rFonts w:hint="eastAsia" w:ascii="宋体" w:hAnsi="宋体" w:eastAsia="宋体" w:cs="宋体"/>
          <w:color w:val="auto"/>
        </w:rPr>
        <w:t>CB</w:t>
      </w:r>
      <w:r>
        <w:rPr>
          <w:rFonts w:hint="eastAsia" w:ascii="宋体" w:hAnsi="宋体" w:eastAsia="宋体" w:cs="宋体"/>
          <w:color w:val="auto"/>
          <w:lang w:val="en-US" w:eastAsia="zh-CN"/>
        </w:rPr>
        <w:t>3</w:t>
      </w:r>
      <w:r>
        <w:rPr>
          <w:rFonts w:hint="eastAsia" w:ascii="宋体" w:hAnsi="宋体" w:eastAsia="宋体" w:cs="宋体"/>
          <w:color w:val="auto"/>
        </w:rPr>
        <w:t>表</w:t>
      </w:r>
      <w:r>
        <w:rPr>
          <w:rFonts w:hint="eastAsia" w:ascii="宋体" w:hAnsi="宋体" w:eastAsia="宋体" w:cs="宋体"/>
          <w:bCs/>
          <w:color w:val="auto"/>
          <w:szCs w:val="21"/>
        </w:rPr>
        <w:t>）、</w:t>
      </w:r>
      <w:r>
        <w:rPr>
          <w:rFonts w:hint="eastAsia" w:ascii="宋体" w:hAnsi="宋体" w:eastAsia="宋体" w:cs="宋体"/>
          <w:color w:val="auto"/>
        </w:rPr>
        <w:t>对外承包工程</w:t>
      </w:r>
      <w:r>
        <w:rPr>
          <w:rFonts w:hint="eastAsia" w:ascii="宋体" w:hAnsi="宋体" w:eastAsia="宋体" w:cs="宋体"/>
          <w:color w:val="auto"/>
          <w:lang w:eastAsia="zh-CN"/>
        </w:rPr>
        <w:t>分包</w:t>
      </w:r>
      <w:r>
        <w:rPr>
          <w:rFonts w:hint="eastAsia" w:ascii="宋体" w:hAnsi="宋体" w:eastAsia="宋体" w:cs="宋体"/>
          <w:color w:val="auto"/>
        </w:rPr>
        <w:t>项目</w:t>
      </w:r>
      <w:r>
        <w:rPr>
          <w:rFonts w:hint="eastAsia" w:ascii="宋体" w:hAnsi="宋体" w:cs="宋体"/>
          <w:color w:val="auto"/>
          <w:lang w:eastAsia="zh-CN"/>
        </w:rPr>
        <w:t>完成</w:t>
      </w:r>
      <w:r>
        <w:rPr>
          <w:rFonts w:hint="eastAsia" w:ascii="宋体" w:hAnsi="宋体" w:eastAsia="宋体" w:cs="宋体"/>
          <w:color w:val="auto"/>
          <w:lang w:eastAsia="zh-CN"/>
        </w:rPr>
        <w:t>情况</w:t>
      </w:r>
      <w:r>
        <w:rPr>
          <w:rFonts w:hint="eastAsia" w:ascii="宋体" w:hAnsi="宋体" w:eastAsia="宋体" w:cs="宋体"/>
          <w:color w:val="auto"/>
        </w:rPr>
        <w:t>（CB</w:t>
      </w:r>
      <w:r>
        <w:rPr>
          <w:rFonts w:hint="eastAsia" w:ascii="宋体" w:hAnsi="宋体" w:eastAsia="宋体" w:cs="宋体"/>
          <w:color w:val="auto"/>
          <w:lang w:val="en-US" w:eastAsia="zh-CN"/>
        </w:rPr>
        <w:t>4表</w:t>
      </w:r>
      <w:r>
        <w:rPr>
          <w:rFonts w:hint="eastAsia" w:ascii="宋体" w:hAnsi="宋体" w:eastAsia="宋体" w:cs="宋体"/>
          <w:color w:val="auto"/>
        </w:rPr>
        <w:t>）和对外承包工程项目</w:t>
      </w:r>
      <w:r>
        <w:rPr>
          <w:rFonts w:hint="eastAsia" w:ascii="宋体" w:hAnsi="宋体" w:eastAsia="宋体" w:cs="宋体"/>
          <w:color w:val="auto"/>
          <w:lang w:eastAsia="zh-CN"/>
        </w:rPr>
        <w:t>中方人员构成</w:t>
      </w:r>
      <w:r>
        <w:rPr>
          <w:rFonts w:hint="eastAsia" w:ascii="宋体" w:hAnsi="宋体" w:cs="宋体"/>
          <w:color w:val="auto"/>
          <w:lang w:eastAsia="zh-CN"/>
        </w:rPr>
        <w:t>及变化</w:t>
      </w:r>
      <w:r>
        <w:rPr>
          <w:rFonts w:hint="eastAsia" w:ascii="宋体" w:hAnsi="宋体" w:eastAsia="宋体" w:cs="宋体"/>
          <w:color w:val="auto"/>
          <w:lang w:eastAsia="zh-CN"/>
        </w:rPr>
        <w:t>情况</w:t>
      </w:r>
      <w:r>
        <w:rPr>
          <w:rFonts w:hint="eastAsia" w:ascii="宋体" w:hAnsi="宋体" w:eastAsia="宋体" w:cs="宋体"/>
          <w:color w:val="auto"/>
        </w:rPr>
        <w:t>（CB</w:t>
      </w:r>
      <w:r>
        <w:rPr>
          <w:rFonts w:hint="eastAsia" w:ascii="宋体" w:hAnsi="宋体" w:eastAsia="宋体" w:cs="宋体"/>
          <w:color w:val="auto"/>
          <w:lang w:val="en-US" w:eastAsia="zh-CN"/>
        </w:rPr>
        <w:t>5表</w:t>
      </w:r>
      <w:r>
        <w:rPr>
          <w:rFonts w:hint="eastAsia" w:ascii="宋体" w:hAnsi="宋体" w:eastAsia="宋体" w:cs="宋体"/>
          <w:color w:val="auto"/>
        </w:rPr>
        <w:t>）。其中主要指标内容包括：</w:t>
      </w:r>
      <w:r>
        <w:rPr>
          <w:rFonts w:hint="eastAsia" w:ascii="宋体" w:hAnsi="宋体" w:eastAsia="宋体" w:cs="宋体"/>
          <w:bCs/>
          <w:color w:val="auto"/>
          <w:kern w:val="0"/>
          <w:szCs w:val="21"/>
        </w:rPr>
        <w:t>新签合同额、完成营业额、外派人数、月末在外人数、新签铁路（公路）项目线路总里程、新签电力工程项目装机容量、雇</w:t>
      </w:r>
      <w:r>
        <w:rPr>
          <w:rFonts w:hint="eastAsia" w:ascii="宋体" w:hAnsi="宋体" w:eastAsia="宋体" w:cs="宋体"/>
          <w:bCs/>
          <w:color w:val="auto"/>
          <w:kern w:val="0"/>
          <w:szCs w:val="21"/>
          <w:lang w:eastAsia="zh-CN"/>
        </w:rPr>
        <w:t>用</w:t>
      </w:r>
      <w:r>
        <w:rPr>
          <w:rFonts w:hint="eastAsia" w:ascii="宋体" w:hAnsi="宋体" w:eastAsia="宋体" w:cs="宋体"/>
          <w:bCs/>
          <w:color w:val="auto"/>
          <w:kern w:val="0"/>
          <w:szCs w:val="21"/>
        </w:rPr>
        <w:t>项目所在国人员数量、</w:t>
      </w:r>
      <w:r>
        <w:rPr>
          <w:rFonts w:hint="eastAsia" w:ascii="宋体" w:hAnsi="宋体" w:eastAsia="宋体" w:cs="宋体"/>
          <w:bCs/>
          <w:color w:val="auto"/>
          <w:szCs w:val="21"/>
        </w:rPr>
        <w:t>雇</w:t>
      </w:r>
      <w:r>
        <w:rPr>
          <w:rFonts w:hint="eastAsia" w:ascii="宋体" w:hAnsi="宋体" w:eastAsia="宋体" w:cs="宋体"/>
          <w:bCs/>
          <w:color w:val="auto"/>
          <w:szCs w:val="21"/>
          <w:lang w:eastAsia="zh-CN"/>
        </w:rPr>
        <w:t>用</w:t>
      </w:r>
      <w:r>
        <w:rPr>
          <w:rFonts w:hint="eastAsia" w:ascii="宋体" w:hAnsi="宋体" w:eastAsia="宋体" w:cs="宋体"/>
          <w:bCs/>
          <w:color w:val="auto"/>
          <w:szCs w:val="21"/>
        </w:rPr>
        <w:t>第三国人员数量</w:t>
      </w:r>
      <w:r>
        <w:rPr>
          <w:rFonts w:hint="eastAsia" w:ascii="宋体" w:hAnsi="宋体" w:eastAsia="宋体" w:cs="宋体"/>
          <w:bCs/>
          <w:color w:val="auto"/>
          <w:kern w:val="0"/>
          <w:szCs w:val="21"/>
        </w:rPr>
        <w:t>等。</w:t>
      </w:r>
    </w:p>
    <w:p w14:paraId="1DDF7463">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lang w:val="en"/>
        </w:rPr>
      </w:pPr>
      <w:r>
        <w:rPr>
          <w:rFonts w:hint="eastAsia" w:ascii="宋体" w:hAnsi="宋体" w:eastAsia="宋体" w:cs="宋体"/>
          <w:b/>
          <w:color w:val="auto"/>
        </w:rPr>
        <w:t>（五）调查频率</w:t>
      </w:r>
      <w:r>
        <w:rPr>
          <w:rFonts w:hint="eastAsia" w:ascii="宋体" w:hAnsi="宋体" w:eastAsia="宋体" w:cs="宋体"/>
          <w:b/>
          <w:color w:val="auto"/>
          <w:lang w:val="en"/>
        </w:rPr>
        <w:t>和时间</w:t>
      </w:r>
    </w:p>
    <w:p w14:paraId="77E2B56B">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color w:val="auto"/>
          <w:szCs w:val="21"/>
        </w:rPr>
      </w:pPr>
      <w:r>
        <w:rPr>
          <w:rFonts w:hint="eastAsia" w:ascii="宋体" w:hAnsi="宋体" w:eastAsia="宋体" w:cs="宋体"/>
          <w:bCs/>
          <w:color w:val="auto"/>
          <w:szCs w:val="21"/>
        </w:rPr>
        <w:t>本制度采用定期填报统计报表方式，收集、整理统计资料。调查表分为年度报表和月度报表</w:t>
      </w:r>
      <w:r>
        <w:rPr>
          <w:rFonts w:hint="eastAsia" w:ascii="宋体" w:hAnsi="宋体" w:eastAsia="宋体" w:cs="宋体"/>
          <w:color w:val="auto"/>
          <w:szCs w:val="21"/>
        </w:rPr>
        <w:t>。其中月度报表调查时间为</w:t>
      </w:r>
      <w:r>
        <w:rPr>
          <w:rFonts w:hint="eastAsia" w:ascii="宋体" w:hAnsi="宋体" w:eastAsia="宋体" w:cs="宋体"/>
          <w:color w:val="auto"/>
          <w:szCs w:val="21"/>
          <w:lang w:eastAsia="zh-CN"/>
        </w:rPr>
        <w:t>每月</w:t>
      </w:r>
      <w:r>
        <w:rPr>
          <w:rFonts w:hint="eastAsia" w:ascii="宋体" w:hAnsi="宋体" w:eastAsia="宋体" w:cs="宋体"/>
          <w:color w:val="auto"/>
          <w:szCs w:val="21"/>
        </w:rPr>
        <w:t>1日至当月最后一日，年度报表调查时间</w:t>
      </w:r>
      <w:r>
        <w:rPr>
          <w:rFonts w:hint="eastAsia" w:ascii="宋体" w:hAnsi="宋体" w:cs="宋体"/>
          <w:color w:val="auto"/>
          <w:szCs w:val="21"/>
          <w:lang w:eastAsia="zh-CN"/>
        </w:rPr>
        <w:t>为</w:t>
      </w:r>
      <w:r>
        <w:rPr>
          <w:rFonts w:hint="eastAsia" w:ascii="宋体" w:hAnsi="宋体" w:eastAsia="宋体" w:cs="宋体"/>
          <w:color w:val="auto"/>
          <w:szCs w:val="21"/>
          <w:lang w:eastAsia="zh-CN"/>
        </w:rPr>
        <w:t>每年</w:t>
      </w:r>
      <w:r>
        <w:rPr>
          <w:rFonts w:hint="eastAsia" w:ascii="宋体" w:hAnsi="宋体" w:eastAsia="宋体" w:cs="宋体"/>
          <w:color w:val="auto"/>
          <w:szCs w:val="21"/>
        </w:rPr>
        <w:t>1月1日至</w:t>
      </w:r>
      <w:r>
        <w:rPr>
          <w:rFonts w:hint="eastAsia" w:ascii="宋体" w:hAnsi="宋体" w:eastAsia="宋体" w:cs="宋体"/>
          <w:color w:val="auto"/>
          <w:szCs w:val="21"/>
          <w:lang w:eastAsia="zh-CN"/>
        </w:rPr>
        <w:t>当年</w:t>
      </w:r>
      <w:r>
        <w:rPr>
          <w:rFonts w:hint="eastAsia" w:ascii="宋体" w:hAnsi="宋体" w:eastAsia="宋体" w:cs="宋体"/>
          <w:color w:val="auto"/>
          <w:szCs w:val="21"/>
        </w:rPr>
        <w:t>12月31日。</w:t>
      </w:r>
    </w:p>
    <w:p w14:paraId="6815BB67">
      <w:pPr>
        <w:keepNext w:val="0"/>
        <w:keepLines w:val="0"/>
        <w:pageBreakBefore w:val="0"/>
        <w:numPr>
          <w:ilvl w:val="0"/>
          <w:numId w:val="1"/>
        </w:numPr>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调查方法</w:t>
      </w:r>
    </w:p>
    <w:p w14:paraId="40D3ACD5">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
          <w:color w:val="auto"/>
        </w:rPr>
      </w:pPr>
      <w:r>
        <w:rPr>
          <w:rFonts w:hint="eastAsia" w:ascii="宋体" w:hAnsi="宋体" w:eastAsia="宋体" w:cs="宋体"/>
          <w:color w:val="auto"/>
        </w:rPr>
        <w:t>本制度采用全面调查的方法。</w:t>
      </w:r>
    </w:p>
    <w:p w14:paraId="5EAB7356">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（七）组织</w:t>
      </w:r>
      <w:r>
        <w:rPr>
          <w:rFonts w:hint="eastAsia" w:ascii="宋体" w:hAnsi="宋体" w:eastAsia="宋体" w:cs="宋体"/>
          <w:b/>
          <w:color w:val="auto"/>
          <w:lang w:val="en"/>
        </w:rPr>
        <w:t>实施</w:t>
      </w:r>
    </w:p>
    <w:p w14:paraId="56DAC63C">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 xml:space="preserve">组织方式：对外承包工程业务统计实行统一领导，分级管理。 </w:t>
      </w:r>
    </w:p>
    <w:p w14:paraId="160E6A12">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（1）商务部负责全国对外承包工程业务统计工作，管理各省、自治区、直辖市、计划单列市商务主管部门以及中央管理的有关</w:t>
      </w:r>
      <w:r>
        <w:rPr>
          <w:rFonts w:hint="eastAsia" w:ascii="宋体" w:hAnsi="宋体" w:eastAsia="宋体" w:cs="宋体"/>
          <w:bCs/>
          <w:color w:val="auto"/>
          <w:kern w:val="0"/>
          <w:szCs w:val="21"/>
          <w:lang w:eastAsia="zh-CN"/>
        </w:rPr>
        <w:t>在京</w:t>
      </w:r>
      <w:r>
        <w:rPr>
          <w:rFonts w:hint="eastAsia" w:ascii="宋体" w:hAnsi="宋体" w:eastAsia="宋体" w:cs="宋体"/>
          <w:bCs/>
          <w:color w:val="auto"/>
          <w:kern w:val="0"/>
          <w:szCs w:val="21"/>
        </w:rPr>
        <w:t xml:space="preserve">企业（以下简称中央企业）的对外承包工程业务统计工作，审核、汇总、编制全国对外承包工程业务统计资料。 </w:t>
      </w:r>
    </w:p>
    <w:p w14:paraId="45706805">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 xml:space="preserve">商务主管部门负责本行政区域内对外承包工程业务统计工作，管理本行政区域内企业（以下简称地方企业）的统计工作，审核、汇总并向商务部上报本行政区域内对外承包工程业务统计资料。 </w:t>
      </w:r>
    </w:p>
    <w:p w14:paraId="76ED5C9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（3）企业负责本单位的对外承包工程业务统计工作，编制统计资料并上报地方商务主管部门或商务部。</w:t>
      </w:r>
    </w:p>
    <w:p w14:paraId="691E0C1C">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报送渠道：地方企业报</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商务主管部门；中央企业报商务部；</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 xml:space="preserve">商务主管部门审核本行政区域内企业的报表后报商务部，同时抄报同级统计部门；商务部汇总全国数据后报国家统计局。 </w:t>
      </w:r>
    </w:p>
    <w:p w14:paraId="03066EA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bCs/>
          <w:color w:val="auto"/>
          <w:kern w:val="0"/>
          <w:szCs w:val="21"/>
        </w:rPr>
      </w:pPr>
      <w:r>
        <w:rPr>
          <w:rFonts w:hint="eastAsia" w:ascii="宋体" w:hAnsi="宋体" w:eastAsia="宋体" w:cs="宋体"/>
          <w:b/>
          <w:bCs/>
          <w:color w:val="auto"/>
          <w:kern w:val="0"/>
          <w:szCs w:val="21"/>
        </w:rPr>
        <w:t>（八）报送要求</w:t>
      </w:r>
    </w:p>
    <w:p w14:paraId="34AA2BA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szCs w:val="21"/>
          <w:lang w:val="en-US" w:eastAsia="zh-CN"/>
        </w:rPr>
      </w:pPr>
      <w:r>
        <w:rPr>
          <w:rFonts w:hint="eastAsia" w:ascii="宋体" w:hAnsi="宋体" w:eastAsia="宋体" w:cs="宋体"/>
          <w:bCs/>
          <w:color w:val="auto"/>
          <w:kern w:val="0"/>
          <w:szCs w:val="21"/>
        </w:rPr>
        <w:t>1</w:t>
      </w:r>
      <w:r>
        <w:rPr>
          <w:rFonts w:hint="eastAsia" w:ascii="宋体" w:hAnsi="宋体" w:cs="宋体"/>
          <w:color w:val="auto"/>
          <w:szCs w:val="21"/>
          <w:lang w:val="en-US" w:eastAsia="zh-CN"/>
        </w:rPr>
        <w:t>.</w:t>
      </w:r>
      <w:r>
        <w:rPr>
          <w:rFonts w:hint="eastAsia" w:ascii="宋体" w:hAnsi="宋体" w:eastAsia="宋体" w:cs="宋体"/>
          <w:color w:val="auto"/>
          <w:szCs w:val="21"/>
        </w:rPr>
        <w:t>月后</w:t>
      </w:r>
      <w:r>
        <w:rPr>
          <w:rFonts w:hint="eastAsia" w:ascii="宋体" w:hAnsi="宋体" w:eastAsia="宋体" w:cs="宋体"/>
          <w:bCs/>
          <w:color w:val="auto"/>
          <w:kern w:val="0"/>
          <w:szCs w:val="21"/>
        </w:rPr>
        <w:t>10</w:t>
      </w:r>
      <w:r>
        <w:rPr>
          <w:rFonts w:hint="eastAsia" w:ascii="宋体" w:hAnsi="宋体" w:eastAsia="宋体" w:cs="宋体"/>
          <w:color w:val="auto"/>
          <w:szCs w:val="21"/>
        </w:rPr>
        <w:t>日内，由调查范围内企业通过登录商务部业务系统统一平台（</w:t>
      </w:r>
      <w:r>
        <w:rPr>
          <w:rFonts w:hint="eastAsia" w:ascii="宋体" w:hAnsi="宋体" w:eastAsia="宋体" w:cs="宋体"/>
          <w:bCs/>
          <w:color w:val="auto"/>
          <w:kern w:val="0"/>
          <w:szCs w:val="21"/>
        </w:rPr>
        <w:t>http://ecomp.mofcom.gov.cn</w:t>
      </w:r>
      <w:r>
        <w:rPr>
          <w:rFonts w:hint="eastAsia" w:ascii="宋体" w:hAnsi="宋体" w:eastAsia="宋体" w:cs="宋体"/>
          <w:color w:val="auto"/>
          <w:szCs w:val="21"/>
        </w:rPr>
        <w:t>）--对外投资合作信息服务，填报前一个月的数据。</w:t>
      </w:r>
      <w:r>
        <w:rPr>
          <w:rFonts w:hint="eastAsia" w:ascii="宋体" w:hAnsi="宋体" w:eastAsia="宋体" w:cs="宋体"/>
          <w:color w:val="auto"/>
          <w:szCs w:val="21"/>
          <w:lang w:eastAsia="zh-CN"/>
        </w:rPr>
        <w:t>每年</w:t>
      </w:r>
      <w:r>
        <w:rPr>
          <w:rFonts w:hint="eastAsia" w:ascii="宋体" w:hAnsi="宋体" w:eastAsia="宋体" w:cs="宋体"/>
          <w:bCs/>
          <w:color w:val="auto"/>
          <w:kern w:val="0"/>
          <w:szCs w:val="21"/>
          <w:lang w:val="en-US" w:eastAsia="zh-CN"/>
        </w:rPr>
        <w:t>5月31</w:t>
      </w:r>
      <w:r>
        <w:rPr>
          <w:rFonts w:hint="eastAsia" w:ascii="宋体" w:hAnsi="宋体" w:eastAsia="宋体" w:cs="宋体"/>
          <w:color w:val="auto"/>
          <w:szCs w:val="21"/>
        </w:rPr>
        <w:t>日</w:t>
      </w:r>
      <w:r>
        <w:rPr>
          <w:rFonts w:hint="eastAsia" w:ascii="宋体" w:hAnsi="宋体" w:eastAsia="宋体" w:cs="宋体"/>
          <w:color w:val="auto"/>
          <w:szCs w:val="21"/>
          <w:lang w:eastAsia="zh-CN"/>
        </w:rPr>
        <w:t>前，填报上年度</w:t>
      </w:r>
      <w:r>
        <w:rPr>
          <w:rFonts w:hint="eastAsia" w:ascii="宋体" w:hAnsi="宋体" w:eastAsia="宋体" w:cs="宋体"/>
          <w:bCs/>
          <w:color w:val="auto"/>
          <w:kern w:val="0"/>
          <w:szCs w:val="21"/>
          <w:lang w:val="en-US" w:eastAsia="zh-CN"/>
        </w:rPr>
        <w:t>CBN</w:t>
      </w:r>
      <w:r>
        <w:rPr>
          <w:rFonts w:hint="eastAsia" w:ascii="宋体" w:hAnsi="宋体" w:eastAsia="宋体" w:cs="宋体"/>
          <w:color w:val="auto"/>
          <w:szCs w:val="21"/>
          <w:lang w:val="en-US" w:eastAsia="zh-CN"/>
        </w:rPr>
        <w:t>表数据。</w:t>
      </w:r>
      <w:r>
        <w:rPr>
          <w:rFonts w:hint="eastAsia" w:ascii="宋体" w:hAnsi="宋体" w:eastAsia="宋体" w:cs="宋体"/>
          <w:bCs/>
          <w:color w:val="auto"/>
          <w:kern w:val="0"/>
          <w:szCs w:val="21"/>
        </w:rPr>
        <w:t>逢国家法定节假日，统计报表的报送时间</w:t>
      </w:r>
      <w:r>
        <w:rPr>
          <w:rFonts w:hint="eastAsia" w:ascii="宋体" w:hAnsi="宋体" w:eastAsia="宋体" w:cs="宋体"/>
          <w:bCs/>
          <w:color w:val="auto"/>
          <w:kern w:val="0"/>
          <w:szCs w:val="21"/>
          <w:lang w:eastAsia="zh-CN"/>
        </w:rPr>
        <w:t>顺</w:t>
      </w:r>
      <w:r>
        <w:rPr>
          <w:rFonts w:hint="eastAsia" w:ascii="宋体" w:hAnsi="宋体" w:eastAsia="宋体" w:cs="宋体"/>
          <w:bCs/>
          <w:color w:val="auto"/>
          <w:kern w:val="0"/>
          <w:szCs w:val="21"/>
        </w:rPr>
        <w:t>延。</w:t>
      </w:r>
    </w:p>
    <w:p w14:paraId="50B397C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本制度使用的国别（地区）统计代码，按</w:t>
      </w:r>
      <w:r>
        <w:rPr>
          <w:rFonts w:hint="eastAsia" w:ascii="宋体" w:hAnsi="宋体" w:eastAsia="宋体" w:cs="宋体"/>
          <w:bCs/>
          <w:color w:val="auto"/>
          <w:kern w:val="0"/>
          <w:szCs w:val="21"/>
          <w:lang w:eastAsia="zh-CN"/>
        </w:rPr>
        <w:t>海关总署发布</w:t>
      </w:r>
      <w:r>
        <w:rPr>
          <w:rFonts w:hint="eastAsia" w:ascii="宋体" w:hAnsi="宋体" w:eastAsia="宋体" w:cs="宋体"/>
          <w:bCs/>
          <w:color w:val="auto"/>
          <w:kern w:val="0"/>
          <w:szCs w:val="21"/>
        </w:rPr>
        <w:t>的</w:t>
      </w:r>
      <w:r>
        <w:rPr>
          <w:rFonts w:hint="eastAsia" w:ascii="宋体" w:hAnsi="宋体" w:eastAsia="宋体" w:cs="宋体"/>
          <w:bCs/>
          <w:color w:val="auto"/>
          <w:kern w:val="0"/>
          <w:szCs w:val="21"/>
          <w:highlight w:val="none"/>
        </w:rPr>
        <w:t>《国别（地区）统计代码》</w:t>
      </w:r>
      <w:r>
        <w:rPr>
          <w:rFonts w:hint="eastAsia" w:ascii="宋体" w:hAnsi="宋体" w:eastAsia="宋体" w:cs="宋体"/>
          <w:bCs/>
          <w:color w:val="auto"/>
          <w:kern w:val="0"/>
          <w:szCs w:val="21"/>
        </w:rPr>
        <w:t>执行。</w:t>
      </w:r>
    </w:p>
    <w:p w14:paraId="04BBE0DD">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szCs w:val="21"/>
        </w:rPr>
      </w:pPr>
      <w:r>
        <w:rPr>
          <w:rFonts w:hint="eastAsia" w:ascii="宋体" w:hAnsi="宋体" w:eastAsia="宋体" w:cs="宋体"/>
          <w:bCs/>
          <w:color w:val="auto"/>
          <w:kern w:val="0"/>
          <w:szCs w:val="21"/>
        </w:rPr>
        <w:t>3</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本制度</w:t>
      </w:r>
      <w:r>
        <w:rPr>
          <w:rFonts w:hint="eastAsia" w:ascii="宋体" w:hAnsi="宋体" w:eastAsia="宋体" w:cs="宋体"/>
          <w:bCs/>
          <w:color w:val="auto"/>
          <w:szCs w:val="21"/>
        </w:rPr>
        <w:t>节能环保清洁类项目分类，参照国家统计局《节能环保清洁产业统计分类（2021）》相关标准制定。</w:t>
      </w:r>
    </w:p>
    <w:p w14:paraId="4ACA43D0">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highlight w:val="none"/>
        </w:rPr>
        <w:t>4</w:t>
      </w:r>
      <w:r>
        <w:rPr>
          <w:rFonts w:hint="eastAsia" w:ascii="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本制度</w:t>
      </w:r>
      <w:r>
        <w:rPr>
          <w:rFonts w:hint="eastAsia" w:ascii="宋体" w:hAnsi="宋体" w:eastAsia="宋体" w:cs="宋体"/>
          <w:bCs/>
          <w:color w:val="auto"/>
          <w:kern w:val="0"/>
          <w:szCs w:val="21"/>
          <w:highlight w:val="none"/>
          <w:lang w:eastAsia="zh-CN"/>
        </w:rPr>
        <w:t>涉及的人员构成</w:t>
      </w:r>
      <w:r>
        <w:rPr>
          <w:rFonts w:hint="eastAsia" w:ascii="宋体" w:hAnsi="宋体" w:eastAsia="宋体" w:cs="宋体"/>
          <w:bCs/>
          <w:color w:val="auto"/>
          <w:kern w:val="0"/>
          <w:szCs w:val="21"/>
          <w:highlight w:val="none"/>
        </w:rPr>
        <w:t>行业分类</w:t>
      </w:r>
      <w:r>
        <w:rPr>
          <w:rFonts w:hint="eastAsia" w:ascii="宋体" w:hAnsi="宋体" w:eastAsia="宋体" w:cs="宋体"/>
          <w:bCs/>
          <w:color w:val="auto"/>
          <w:kern w:val="0"/>
          <w:szCs w:val="21"/>
        </w:rPr>
        <w:t>，按《国民经济行业分类》（GB/T 4754-2017）执行。</w:t>
      </w:r>
    </w:p>
    <w:p w14:paraId="30F314B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bCs/>
          <w:color w:val="auto"/>
          <w:kern w:val="0"/>
          <w:szCs w:val="21"/>
        </w:rPr>
      </w:pPr>
      <w:r>
        <w:rPr>
          <w:rFonts w:hint="eastAsia" w:ascii="宋体" w:hAnsi="宋体" w:eastAsia="宋体" w:cs="宋体"/>
          <w:b/>
          <w:bCs/>
          <w:color w:val="auto"/>
          <w:kern w:val="0"/>
          <w:szCs w:val="21"/>
        </w:rPr>
        <w:t>（九）质量控制</w:t>
      </w:r>
    </w:p>
    <w:p w14:paraId="2102981A">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对外承包工程项目签约单位</w:t>
      </w:r>
      <w:r>
        <w:rPr>
          <w:rFonts w:hint="eastAsia" w:ascii="宋体" w:cs="宋体"/>
          <w:bCs/>
          <w:color w:val="auto"/>
          <w:kern w:val="0"/>
          <w:szCs w:val="21"/>
          <w:lang w:eastAsia="zh-CN"/>
        </w:rPr>
        <w:t>应</w:t>
      </w:r>
      <w:r>
        <w:rPr>
          <w:rFonts w:hint="eastAsia" w:ascii="宋体" w:hAnsi="宋体" w:eastAsia="宋体" w:cs="宋体"/>
          <w:bCs/>
          <w:color w:val="auto"/>
          <w:kern w:val="0"/>
          <w:szCs w:val="21"/>
        </w:rPr>
        <w:t>协调好下属分包单位</w:t>
      </w:r>
      <w:r>
        <w:rPr>
          <w:rFonts w:hint="eastAsia" w:ascii="宋体" w:cs="宋体"/>
          <w:bCs/>
          <w:color w:val="auto"/>
          <w:kern w:val="0"/>
          <w:szCs w:val="21"/>
          <w:lang w:eastAsia="zh-CN"/>
        </w:rPr>
        <w:t>的</w:t>
      </w:r>
      <w:r>
        <w:rPr>
          <w:rFonts w:hint="eastAsia" w:ascii="宋体" w:hAnsi="宋体" w:eastAsia="宋体" w:cs="宋体"/>
          <w:bCs/>
          <w:color w:val="auto"/>
          <w:kern w:val="0"/>
          <w:szCs w:val="21"/>
        </w:rPr>
        <w:t>数据填报工作，</w:t>
      </w:r>
      <w:r>
        <w:rPr>
          <w:rFonts w:hint="eastAsia" w:ascii="宋体" w:cs="宋体"/>
          <w:bCs/>
          <w:color w:val="auto"/>
          <w:kern w:val="0"/>
          <w:szCs w:val="21"/>
          <w:lang w:eastAsia="zh-CN"/>
        </w:rPr>
        <w:t>避免重报、漏报，</w:t>
      </w:r>
      <w:r>
        <w:rPr>
          <w:rFonts w:hint="eastAsia" w:ascii="宋体" w:hAnsi="宋体" w:eastAsia="宋体" w:cs="宋体"/>
          <w:bCs/>
          <w:color w:val="auto"/>
          <w:kern w:val="0"/>
          <w:szCs w:val="21"/>
        </w:rPr>
        <w:t>确保统计数据质量。</w:t>
      </w:r>
    </w:p>
    <w:p w14:paraId="0BE6F69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企业要认真履行填报义务，明确统计责任，不得虚报、瞒报、漏报、重报统计数据。企业是否按照</w:t>
      </w:r>
      <w:r>
        <w:rPr>
          <w:rFonts w:hint="eastAsia" w:ascii="宋体" w:cs="宋体"/>
          <w:bCs/>
          <w:color w:val="auto"/>
          <w:kern w:val="0"/>
          <w:szCs w:val="21"/>
          <w:lang w:eastAsia="zh-CN"/>
        </w:rPr>
        <w:t>统计制度</w:t>
      </w:r>
      <w:r>
        <w:rPr>
          <w:rFonts w:hint="eastAsia" w:ascii="宋体" w:hAnsi="宋体" w:eastAsia="宋体" w:cs="宋体"/>
          <w:bCs/>
          <w:color w:val="auto"/>
          <w:kern w:val="0"/>
          <w:szCs w:val="21"/>
        </w:rPr>
        <w:t>要求报送统计资料，已列入商务部市场监管执法事项“双随机、一公开”抽查内容。</w:t>
      </w:r>
    </w:p>
    <w:p w14:paraId="5FB15FF0">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color w:val="auto"/>
          <w:kern w:val="0"/>
          <w:szCs w:val="21"/>
          <w:lang w:bidi="ar"/>
        </w:rPr>
      </w:pPr>
      <w:r>
        <w:rPr>
          <w:rFonts w:hint="eastAsia" w:ascii="宋体" w:hAnsi="宋体" w:eastAsia="宋体" w:cs="宋体"/>
          <w:bCs/>
          <w:color w:val="auto"/>
          <w:kern w:val="0"/>
          <w:szCs w:val="21"/>
        </w:rPr>
        <w:t>3</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各省级商务主管部门应定期开展对外承包工程业务统计培训，将学习和贯彻统计法律法规纳入培训内容，提高统计数据</w:t>
      </w:r>
      <w:r>
        <w:rPr>
          <w:rFonts w:hint="eastAsia" w:ascii="宋体" w:hAnsi="宋体" w:eastAsia="宋体" w:cs="宋体"/>
          <w:color w:val="auto"/>
          <w:kern w:val="0"/>
          <w:szCs w:val="21"/>
          <w:lang w:bidi="ar"/>
        </w:rPr>
        <w:t>质量。</w:t>
      </w:r>
    </w:p>
    <w:p w14:paraId="2F1B8989">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0"/>
          <w:szCs w:val="21"/>
        </w:rPr>
        <w:t>4</w:t>
      </w:r>
      <w:r>
        <w:rPr>
          <w:rFonts w:hint="eastAsia" w:ascii="宋体" w:hAnsi="宋体" w:cs="宋体"/>
          <w:bCs/>
          <w:color w:val="auto"/>
          <w:kern w:val="0"/>
          <w:szCs w:val="21"/>
          <w:lang w:val="en-US" w:eastAsia="zh-CN"/>
        </w:rPr>
        <w:t>.</w:t>
      </w:r>
      <w:r>
        <w:rPr>
          <w:rFonts w:hint="eastAsia" w:ascii="宋体" w:hAnsi="宋体" w:cs="宋体"/>
          <w:bCs/>
          <w:color w:val="auto"/>
          <w:kern w:val="0"/>
          <w:szCs w:val="21"/>
        </w:rPr>
        <w:t>各级商务主管部门和企业</w:t>
      </w:r>
      <w:r>
        <w:rPr>
          <w:rFonts w:hint="eastAsia" w:ascii="宋体" w:hAnsi="宋体" w:cs="宋体"/>
          <w:bCs/>
          <w:color w:val="auto"/>
          <w:kern w:val="0"/>
          <w:szCs w:val="21"/>
          <w:lang w:eastAsia="zh-CN"/>
        </w:rPr>
        <w:t>须</w:t>
      </w:r>
      <w:r>
        <w:rPr>
          <w:rFonts w:hint="eastAsia" w:ascii="宋体" w:hAnsi="宋体" w:cs="宋体"/>
          <w:bCs/>
          <w:color w:val="auto"/>
          <w:szCs w:val="21"/>
          <w:lang w:eastAsia="zh-CN"/>
        </w:rPr>
        <w:t>根据工作需要配备统计人员并保持相对稳定，并提供必要的经费保障，</w:t>
      </w:r>
      <w:r>
        <w:rPr>
          <w:rFonts w:hint="eastAsia" w:ascii="宋体" w:hAnsi="宋体" w:cs="宋体"/>
          <w:bCs/>
          <w:color w:val="auto"/>
          <w:kern w:val="0"/>
          <w:szCs w:val="21"/>
        </w:rPr>
        <w:t>加强数据传输的现代化建设，充分运用网络传输手段，全面提高统计</w:t>
      </w:r>
      <w:r>
        <w:rPr>
          <w:rFonts w:hint="eastAsia" w:ascii="宋体" w:hAnsi="宋体" w:eastAsia="宋体" w:cs="宋体"/>
          <w:bCs/>
          <w:color w:val="auto"/>
          <w:kern w:val="2"/>
          <w:sz w:val="21"/>
          <w:szCs w:val="21"/>
          <w:lang w:val="en-US" w:eastAsia="zh-CN" w:bidi="ar-SA"/>
        </w:rPr>
        <w:t>工作质量。商务部</w:t>
      </w:r>
      <w:r>
        <w:rPr>
          <w:rFonts w:hint="eastAsia" w:ascii="宋体" w:hAnsi="宋体" w:cs="宋体"/>
          <w:bCs/>
          <w:color w:val="auto"/>
          <w:kern w:val="2"/>
          <w:sz w:val="21"/>
          <w:szCs w:val="21"/>
          <w:lang w:val="en-US" w:eastAsia="zh-CN" w:bidi="ar-SA"/>
        </w:rPr>
        <w:t>将</w:t>
      </w:r>
      <w:r>
        <w:rPr>
          <w:rFonts w:hint="eastAsia" w:ascii="宋体" w:hAnsi="宋体" w:eastAsia="宋体" w:cs="宋体"/>
          <w:bCs/>
          <w:color w:val="auto"/>
          <w:kern w:val="2"/>
          <w:sz w:val="21"/>
          <w:szCs w:val="21"/>
          <w:lang w:val="en-US" w:eastAsia="zh-CN" w:bidi="ar-SA"/>
        </w:rPr>
        <w:t>不定期对企业报送的统计数据进行核查，以保证统计数据的准确性和严肃性。</w:t>
      </w:r>
    </w:p>
    <w:p w14:paraId="0E4F4B06">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 w:eastAsia="zh-CN" w:bidi="ar-SA"/>
        </w:rPr>
        <w:t>5</w:t>
      </w:r>
      <w:r>
        <w:rPr>
          <w:rFonts w:hint="eastAsia" w:ascii="宋体" w:hAnsi="宋体" w:cs="宋体"/>
          <w:bCs/>
          <w:color w:val="auto"/>
          <w:kern w:val="0"/>
          <w:sz w:val="21"/>
          <w:szCs w:val="21"/>
          <w:lang w:val="en-US" w:eastAsia="zh-CN" w:bidi="ar-SA"/>
        </w:rPr>
        <w:t>.</w:t>
      </w:r>
      <w:r>
        <w:rPr>
          <w:rFonts w:hint="eastAsia" w:ascii="宋体" w:hAnsi="宋体" w:eastAsia="宋体" w:cs="宋体"/>
          <w:bCs/>
          <w:color w:val="auto"/>
          <w:kern w:val="0"/>
          <w:sz w:val="21"/>
          <w:szCs w:val="21"/>
          <w:lang w:val="en-US" w:eastAsia="zh-CN" w:bidi="ar-SA"/>
        </w:rPr>
        <w:t>商务主管部门和有关企业（单位）</w:t>
      </w:r>
      <w:r>
        <w:rPr>
          <w:rFonts w:hint="eastAsia" w:ascii="宋体" w:hAnsi="宋体" w:cs="宋体"/>
          <w:bCs/>
          <w:color w:val="auto"/>
          <w:kern w:val="0"/>
          <w:sz w:val="21"/>
          <w:szCs w:val="21"/>
          <w:lang w:val="en-US" w:eastAsia="zh-CN" w:bidi="ar-SA"/>
        </w:rPr>
        <w:t>须</w:t>
      </w:r>
      <w:r>
        <w:rPr>
          <w:rFonts w:hint="eastAsia" w:ascii="宋体" w:hAnsi="宋体" w:eastAsia="宋体" w:cs="宋体"/>
          <w:bCs/>
          <w:color w:val="auto"/>
          <w:kern w:val="0"/>
          <w:sz w:val="21"/>
          <w:szCs w:val="21"/>
          <w:lang w:val="en-US" w:eastAsia="zh-CN" w:bidi="ar-SA"/>
        </w:rPr>
        <w:t>坚决贯彻落实《关于防范和惩治商务领域统计造假弄虚作假有关责任的规定》，落实统计责任，全面防范和严肃惩治商务统计造假</w:t>
      </w:r>
      <w:r>
        <w:rPr>
          <w:rFonts w:hint="eastAsia" w:ascii="宋体" w:hAnsi="宋体" w:cs="宋体"/>
          <w:bCs/>
          <w:color w:val="auto"/>
          <w:kern w:val="0"/>
          <w:sz w:val="21"/>
          <w:szCs w:val="21"/>
          <w:lang w:val="en-US" w:eastAsia="zh-CN" w:bidi="ar-SA"/>
        </w:rPr>
        <w:t>、弄虚作假</w:t>
      </w:r>
      <w:r>
        <w:rPr>
          <w:rFonts w:hint="eastAsia" w:ascii="宋体" w:hAnsi="宋体" w:eastAsia="宋体" w:cs="宋体"/>
          <w:bCs/>
          <w:color w:val="auto"/>
          <w:kern w:val="0"/>
          <w:sz w:val="21"/>
          <w:szCs w:val="21"/>
          <w:lang w:val="en-US" w:eastAsia="zh-CN" w:bidi="ar-SA"/>
        </w:rPr>
        <w:t>，保障统计数据质量。</w:t>
      </w:r>
    </w:p>
    <w:p w14:paraId="7AD6723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6.</w:t>
      </w:r>
      <w:r>
        <w:rPr>
          <w:rFonts w:hint="eastAsia" w:ascii="宋体" w:hAnsi="宋体" w:eastAsia="宋体" w:cs="宋体"/>
          <w:bCs/>
          <w:color w:val="auto"/>
          <w:kern w:val="0"/>
          <w:sz w:val="21"/>
          <w:szCs w:val="21"/>
          <w:lang w:val="en-US" w:eastAsia="zh-CN" w:bidi="ar-SA"/>
        </w:rPr>
        <w:t>商务部制定《商务统</w:t>
      </w:r>
      <w:r>
        <w:rPr>
          <w:rFonts w:hint="eastAsia" w:ascii="宋体" w:hAnsi="宋体" w:eastAsia="宋体" w:cs="宋体"/>
          <w:bCs/>
          <w:color w:val="auto"/>
          <w:kern w:val="2"/>
          <w:sz w:val="21"/>
          <w:szCs w:val="21"/>
          <w:lang w:val="en-US" w:eastAsia="zh-CN" w:bidi="ar-SA"/>
        </w:rPr>
        <w:t>计源头数据质量核查办法》，加强统计源头数据</w:t>
      </w:r>
      <w:r>
        <w:rPr>
          <w:rFonts w:hint="eastAsia" w:ascii="宋体" w:hAnsi="宋体" w:eastAsia="宋体" w:cs="宋体"/>
          <w:bCs/>
          <w:color w:val="auto"/>
          <w:kern w:val="0"/>
          <w:sz w:val="21"/>
          <w:szCs w:val="21"/>
          <w:lang w:val="en-US" w:eastAsia="zh-CN" w:bidi="ar-SA"/>
        </w:rPr>
        <w:t>质量管理和真实性审核。各级商务主管部门和有关企业对本辖区或下属企业的统计数据开展真实性审核，切实提高统计数据质量。</w:t>
      </w:r>
    </w:p>
    <w:p w14:paraId="1AFDCCDA">
      <w:pPr>
        <w:autoSpaceDE w:val="0"/>
        <w:autoSpaceDN w:val="0"/>
        <w:adjustRightInd w:val="0"/>
        <w:snapToGrid w:val="0"/>
        <w:spacing w:line="380" w:lineRule="exact"/>
        <w:ind w:firstLine="422" w:firstLineChars="200"/>
        <w:textAlignment w:val="bottom"/>
        <w:rPr>
          <w:rFonts w:ascii="宋体" w:hAnsi="宋体" w:cs="宋体"/>
          <w:b/>
          <w:color w:val="auto"/>
          <w:szCs w:val="21"/>
        </w:rPr>
      </w:pPr>
      <w:r>
        <w:rPr>
          <w:rFonts w:hint="eastAsia" w:ascii="宋体" w:hAnsi="宋体" w:cs="宋体"/>
          <w:b/>
          <w:color w:val="auto"/>
          <w:szCs w:val="21"/>
        </w:rPr>
        <w:t>（十）监督检查</w:t>
      </w:r>
    </w:p>
    <w:p w14:paraId="2DCE7F3A">
      <w:pPr>
        <w:autoSpaceDE w:val="0"/>
        <w:autoSpaceDN w:val="0"/>
        <w:adjustRightInd w:val="0"/>
        <w:snapToGrid w:val="0"/>
        <w:spacing w:line="380" w:lineRule="exact"/>
        <w:ind w:firstLine="420" w:firstLineChars="200"/>
        <w:textAlignment w:val="bottom"/>
        <w:rPr>
          <w:rFonts w:ascii="宋体" w:hAnsi="宋体"/>
          <w:bCs/>
          <w:color w:val="auto"/>
          <w:szCs w:val="21"/>
        </w:rPr>
      </w:pPr>
      <w:r>
        <w:rPr>
          <w:rFonts w:hint="eastAsia" w:ascii="宋体" w:hAnsi="宋体"/>
          <w:bCs/>
          <w:color w:val="auto"/>
          <w:szCs w:val="21"/>
        </w:rPr>
        <w:t>1</w:t>
      </w:r>
      <w:r>
        <w:rPr>
          <w:rFonts w:hint="eastAsia" w:ascii="宋体" w:hAnsi="宋体"/>
          <w:bCs/>
          <w:color w:val="auto"/>
          <w:szCs w:val="21"/>
          <w:lang w:eastAsia="zh-CN"/>
        </w:rPr>
        <w:t>.</w:t>
      </w:r>
      <w:r>
        <w:rPr>
          <w:rFonts w:hint="eastAsia" w:ascii="宋体" w:hAnsi="宋体"/>
          <w:bCs/>
          <w:color w:val="auto"/>
          <w:szCs w:val="21"/>
        </w:rPr>
        <w:t>各省级商务主管部门根据《统计法》要求，应及时向本级人民政府统计机构提供统计违法线索和相关材料，协助本级人民政府统计机构查处统计违法行为。涉及重大、典型统计违法行为，可将线索和相关材料上报商务部，</w:t>
      </w:r>
      <w:r>
        <w:rPr>
          <w:rFonts w:hint="eastAsia" w:ascii="宋体" w:hAnsi="宋体"/>
          <w:bCs/>
          <w:color w:val="auto"/>
          <w:szCs w:val="21"/>
          <w:highlight w:val="none"/>
        </w:rPr>
        <w:t>由商务部</w:t>
      </w:r>
      <w:r>
        <w:rPr>
          <w:rFonts w:hint="eastAsia" w:ascii="宋体" w:hAnsi="宋体"/>
          <w:bCs/>
          <w:color w:val="auto"/>
          <w:szCs w:val="21"/>
          <w:highlight w:val="none"/>
          <w:lang w:eastAsia="zh-CN"/>
        </w:rPr>
        <w:t>移送</w:t>
      </w:r>
      <w:r>
        <w:rPr>
          <w:rFonts w:hint="eastAsia" w:ascii="宋体" w:hAnsi="宋体"/>
          <w:bCs/>
          <w:color w:val="auto"/>
          <w:szCs w:val="21"/>
          <w:highlight w:val="none"/>
        </w:rPr>
        <w:t>国家统计局</w:t>
      </w:r>
      <w:r>
        <w:rPr>
          <w:rFonts w:hint="eastAsia" w:ascii="宋体" w:hAnsi="宋体"/>
          <w:bCs/>
          <w:color w:val="auto"/>
          <w:szCs w:val="21"/>
          <w:highlight w:val="none"/>
          <w:lang w:eastAsia="zh-CN"/>
        </w:rPr>
        <w:t>依法办理</w:t>
      </w:r>
      <w:r>
        <w:rPr>
          <w:rFonts w:hint="eastAsia" w:ascii="宋体" w:hAnsi="宋体"/>
          <w:bCs/>
          <w:color w:val="auto"/>
          <w:szCs w:val="21"/>
        </w:rPr>
        <w:t>。</w:t>
      </w:r>
    </w:p>
    <w:p w14:paraId="182CF36C">
      <w:pPr>
        <w:autoSpaceDE w:val="0"/>
        <w:autoSpaceDN w:val="0"/>
        <w:adjustRightInd w:val="0"/>
        <w:snapToGrid w:val="0"/>
        <w:spacing w:line="380" w:lineRule="exact"/>
        <w:ind w:firstLine="420" w:firstLineChars="200"/>
        <w:textAlignment w:val="bottom"/>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eastAsia="zh-CN"/>
        </w:rPr>
        <w:t>.</w:t>
      </w:r>
      <w:r>
        <w:rPr>
          <w:rFonts w:hint="eastAsia" w:ascii="宋体" w:hAnsi="宋体"/>
          <w:bCs/>
          <w:color w:val="auto"/>
          <w:szCs w:val="21"/>
        </w:rPr>
        <w:t>商务部将联合有关部门不定期开展统计检查。</w:t>
      </w:r>
    </w:p>
    <w:p w14:paraId="2FE5D9AC">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rPr>
      </w:pPr>
      <w:r>
        <w:rPr>
          <w:rFonts w:hint="eastAsia" w:ascii="宋体" w:hAnsi="宋体" w:eastAsia="宋体" w:cs="宋体"/>
          <w:b/>
          <w:color w:val="auto"/>
          <w:highlight w:val="none"/>
        </w:rPr>
        <w:t>（十一）</w:t>
      </w:r>
      <w:r>
        <w:rPr>
          <w:rFonts w:hint="eastAsia" w:ascii="宋体" w:hAnsi="宋体" w:eastAsia="宋体" w:cs="宋体"/>
          <w:b/>
          <w:color w:val="auto"/>
        </w:rPr>
        <w:t>统计资料管理</w:t>
      </w:r>
    </w:p>
    <w:p w14:paraId="61D8AB8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lang w:val="en-US" w:eastAsia="zh-CN"/>
        </w:rPr>
        <w:t>统计机构和统计人员对在统计工作中知悉的国家秘密、工作秘密、商业秘密、个人隐私和个人信息，应当予以保密，不得泄露或者向他人非法提供。</w:t>
      </w:r>
    </w:p>
    <w:p w14:paraId="13F41500">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企业应当按照国家有关规定设置原始记录、统计台账，建立健全统计资料的审核、签署、交接、归档等管理制度。 </w:t>
      </w:r>
    </w:p>
    <w:p w14:paraId="1D8A31B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3</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各省级商务主管部门应当按照国家有关规定建立统计资料的保存、管理制度，建立健全统计信息共享机制。各省级商务主管部门和企业应加强跨境数据信息管理，遵守境内外数据信息保护规定和要求，依法合规收集、存储、使用统计数据信息。</w:t>
      </w:r>
    </w:p>
    <w:p w14:paraId="3A66C4E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4</w:t>
      </w:r>
      <w:r>
        <w:rPr>
          <w:rFonts w:hint="eastAsia" w:ascii="宋体" w:cs="宋体"/>
          <w:bCs/>
          <w:color w:val="auto"/>
          <w:kern w:val="0"/>
          <w:szCs w:val="21"/>
          <w:lang w:val="en-US" w:eastAsia="zh-CN"/>
        </w:rPr>
        <w:t>.</w:t>
      </w:r>
      <w:r>
        <w:rPr>
          <w:rFonts w:hint="eastAsia" w:ascii="宋体" w:hAnsi="宋体" w:eastAsia="宋体" w:cs="宋体"/>
          <w:bCs/>
          <w:color w:val="auto"/>
          <w:kern w:val="0"/>
          <w:szCs w:val="21"/>
          <w:lang w:val="en-US" w:eastAsia="zh-CN"/>
        </w:rPr>
        <w:t>统计调查中获得的能够识别或者推断单个统计调查对象身份的资料，任何单位和个人不得对外提供、</w:t>
      </w:r>
      <w:r>
        <w:rPr>
          <w:rFonts w:hint="eastAsia" w:ascii="宋体" w:hAnsi="宋体" w:eastAsia="宋体" w:cs="宋体"/>
          <w:bCs/>
          <w:color w:val="auto"/>
          <w:kern w:val="0"/>
          <w:szCs w:val="21"/>
        </w:rPr>
        <w:t>泄露，不得用于统计以外的目的。</w:t>
      </w:r>
    </w:p>
    <w:p w14:paraId="5EEC6D15">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rPr>
      </w:pPr>
      <w:r>
        <w:rPr>
          <w:rFonts w:hint="eastAsia" w:ascii="宋体" w:hAnsi="宋体" w:eastAsia="宋体" w:cs="宋体"/>
          <w:b/>
          <w:color w:val="auto"/>
        </w:rPr>
        <w:t>（十</w:t>
      </w:r>
      <w:r>
        <w:rPr>
          <w:rFonts w:hint="eastAsia" w:ascii="宋体" w:hAnsi="宋体" w:cs="宋体"/>
          <w:b/>
          <w:color w:val="auto"/>
          <w:lang w:eastAsia="zh-CN"/>
        </w:rPr>
        <w:t>二</w:t>
      </w:r>
      <w:r>
        <w:rPr>
          <w:rFonts w:hint="eastAsia" w:ascii="宋体" w:hAnsi="宋体" w:eastAsia="宋体" w:cs="宋体"/>
          <w:b/>
          <w:color w:val="auto"/>
        </w:rPr>
        <w:t>）统计资料公布</w:t>
      </w:r>
    </w:p>
    <w:p w14:paraId="1EF8A7FD">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对外承包工程业务统计数据由商务部定期发布，月度数据于月后30日内，通过商务部政府网站（http://www.mofcom.gov.cn）或商务部例行发布会对外公布，主要指标包括新签合同额、完成营业额等。</w:t>
      </w:r>
    </w:p>
    <w:p w14:paraId="47AFB0C0">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商务部可根据业务发展的实际情况，对月度对外承包工程业务统计数据进行修订，对外提供的对外承包工程业务统计资料，以商务部发布的统计资料为准。</w:t>
      </w:r>
    </w:p>
    <w:p w14:paraId="16A5AAAC">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highlight w:val="none"/>
          <w:lang w:val="en"/>
        </w:rPr>
      </w:pPr>
      <w:r>
        <w:rPr>
          <w:rFonts w:hint="eastAsia" w:ascii="宋体" w:hAnsi="宋体" w:eastAsia="宋体" w:cs="宋体"/>
          <w:b/>
          <w:color w:val="auto"/>
        </w:rPr>
        <w:t>（十</w:t>
      </w:r>
      <w:r>
        <w:rPr>
          <w:rFonts w:hint="eastAsia" w:ascii="宋体" w:hAnsi="宋体" w:cs="宋体"/>
          <w:b/>
          <w:color w:val="auto"/>
          <w:lang w:eastAsia="zh-CN"/>
        </w:rPr>
        <w:t>三</w:t>
      </w:r>
      <w:r>
        <w:rPr>
          <w:rFonts w:hint="eastAsia" w:ascii="宋体" w:hAnsi="宋体" w:eastAsia="宋体" w:cs="宋体"/>
          <w:b/>
          <w:color w:val="auto"/>
        </w:rPr>
        <w:t>）</w:t>
      </w:r>
      <w:r>
        <w:rPr>
          <w:rFonts w:hint="eastAsia" w:ascii="宋体" w:hAnsi="宋体" w:cs="宋体"/>
          <w:b/>
          <w:color w:val="auto"/>
          <w:lang w:eastAsia="zh-CN"/>
        </w:rPr>
        <w:t>统计</w:t>
      </w:r>
      <w:r>
        <w:rPr>
          <w:rFonts w:hint="eastAsia" w:ascii="宋体" w:hAnsi="宋体" w:eastAsia="宋体" w:cs="宋体"/>
          <w:b/>
          <w:color w:val="auto"/>
          <w:highlight w:val="none"/>
          <w:lang w:val="en"/>
        </w:rPr>
        <w:t>信息共享</w:t>
      </w:r>
    </w:p>
    <w:p w14:paraId="392E356A">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
        </w:rPr>
        <w:t>经批准对外发布的数据，可按照协定方式与相关政府部门共享。在最终审定数据十个工作日后可以共享，共享责任单位为商务部对外投资和经济合作司，共享责任人为商务部对外投资和经济合作司统计工作负责人</w:t>
      </w:r>
      <w:r>
        <w:rPr>
          <w:rFonts w:hint="eastAsia" w:ascii="宋体" w:hAnsi="宋体" w:eastAsia="宋体" w:cs="宋体"/>
          <w:bCs/>
          <w:color w:val="auto"/>
          <w:kern w:val="0"/>
          <w:szCs w:val="21"/>
          <w:highlight w:val="none"/>
        </w:rPr>
        <w:t>。</w:t>
      </w:r>
    </w:p>
    <w:p w14:paraId="27C9F1C4">
      <w:pPr>
        <w:pStyle w:val="14"/>
        <w:keepNext w:val="0"/>
        <w:keepLines w:val="0"/>
        <w:pageBreakBefore w:val="0"/>
        <w:widowControl w:val="0"/>
        <w:kinsoku/>
        <w:wordWrap/>
        <w:overflowPunct/>
        <w:topLinePunct w:val="0"/>
        <w:autoSpaceDE w:val="0"/>
        <w:autoSpaceDN w:val="0"/>
        <w:bidi w:val="0"/>
        <w:adjustRightInd w:val="0"/>
        <w:snapToGrid w:val="0"/>
        <w:spacing w:line="240" w:lineRule="auto"/>
        <w:ind w:left="420" w:firstLine="0" w:firstLineChars="0"/>
        <w:textAlignment w:val="bottom"/>
        <w:rPr>
          <w:rFonts w:hint="eastAsia" w:ascii="宋体" w:hAnsi="宋体" w:eastAsia="宋体" w:cs="宋体"/>
          <w:b/>
          <w:color w:val="auto"/>
          <w:lang w:val="en"/>
        </w:rPr>
      </w:pPr>
      <w:r>
        <w:rPr>
          <w:rFonts w:hint="eastAsia" w:ascii="宋体" w:hAnsi="宋体" w:cs="宋体"/>
          <w:b/>
          <w:color w:val="auto"/>
          <w:lang w:val="en" w:eastAsia="zh-CN"/>
        </w:rPr>
        <w:t>（十四）</w:t>
      </w:r>
      <w:r>
        <w:rPr>
          <w:rFonts w:hint="eastAsia" w:ascii="宋体" w:hAnsi="宋体" w:eastAsia="宋体" w:cs="宋体"/>
          <w:b/>
          <w:color w:val="auto"/>
          <w:lang w:val="en"/>
        </w:rPr>
        <w:t>使用名录库情况</w:t>
      </w:r>
    </w:p>
    <w:p w14:paraId="0C813C0B">
      <w:pPr>
        <w:pStyle w:val="14"/>
        <w:keepNext w:val="0"/>
        <w:keepLines w:val="0"/>
        <w:pageBreakBefore w:val="0"/>
        <w:widowControl w:val="0"/>
        <w:kinsoku/>
        <w:wordWrap/>
        <w:overflowPunct/>
        <w:topLinePunct w:val="0"/>
        <w:autoSpaceDE w:val="0"/>
        <w:autoSpaceDN w:val="0"/>
        <w:bidi w:val="0"/>
        <w:adjustRightInd w:val="0"/>
        <w:snapToGrid w:val="0"/>
        <w:spacing w:line="240" w:lineRule="auto"/>
        <w:ind w:left="420" w:firstLine="0" w:firstLineChars="0"/>
        <w:textAlignment w:val="bottom"/>
        <w:rPr>
          <w:rFonts w:ascii="宋体" w:hAnsi="宋体" w:cs="宋体"/>
          <w:bCs/>
          <w:color w:val="auto"/>
          <w:kern w:val="0"/>
          <w:szCs w:val="21"/>
        </w:rPr>
      </w:pPr>
      <w:r>
        <w:rPr>
          <w:rFonts w:hint="eastAsia" w:ascii="宋体" w:hAnsi="宋体" w:eastAsia="宋体" w:cs="宋体"/>
          <w:bCs/>
          <w:color w:val="auto"/>
          <w:kern w:val="0"/>
          <w:szCs w:val="21"/>
        </w:rPr>
        <w:t>无。</w:t>
      </w:r>
      <w:r>
        <w:rPr>
          <w:rFonts w:hint="eastAsia" w:ascii="宋体" w:hAnsi="宋体" w:eastAsia="宋体" w:cs="宋体"/>
          <w:bCs/>
          <w:color w:val="auto"/>
          <w:kern w:val="0"/>
          <w:szCs w:val="21"/>
        </w:rPr>
        <w:br w:type="page"/>
      </w:r>
    </w:p>
    <w:p w14:paraId="02465433">
      <w:pPr>
        <w:jc w:val="center"/>
        <w:outlineLvl w:val="0"/>
        <w:rPr>
          <w:rFonts w:ascii="黑体" w:eastAsia="黑体"/>
          <w:b w:val="0"/>
          <w:bCs/>
          <w:color w:val="auto"/>
          <w:sz w:val="32"/>
          <w:szCs w:val="32"/>
        </w:rPr>
      </w:pPr>
      <w:bookmarkStart w:id="6" w:name="_Toc1781172606"/>
      <w:bookmarkStart w:id="7" w:name="_Toc899255432"/>
      <w:bookmarkStart w:id="8" w:name="_Toc1991342717"/>
      <w:r>
        <w:rPr>
          <w:rFonts w:hint="eastAsia" w:ascii="Calibri" w:eastAsia="黑体"/>
          <w:b w:val="0"/>
          <w:bCs w:val="0"/>
          <w:color w:val="auto"/>
          <w:sz w:val="32"/>
          <w:szCs w:val="24"/>
        </w:rPr>
        <w:t>二、</w:t>
      </w:r>
      <w:r>
        <w:rPr>
          <w:rFonts w:hint="eastAsia" w:ascii="黑体" w:eastAsia="黑体"/>
          <w:b w:val="0"/>
          <w:bCs/>
          <w:color w:val="auto"/>
          <w:sz w:val="32"/>
          <w:szCs w:val="32"/>
        </w:rPr>
        <w:t>报 表 目 录</w:t>
      </w:r>
      <w:bookmarkEnd w:id="6"/>
      <w:bookmarkEnd w:id="7"/>
      <w:bookmarkEnd w:id="8"/>
    </w:p>
    <w:p w14:paraId="5A99572C">
      <w:pPr>
        <w:rPr>
          <w:rFonts w:ascii="黑体" w:eastAsia="黑体"/>
          <w:color w:val="auto"/>
          <w:sz w:val="24"/>
        </w:rPr>
      </w:pPr>
    </w:p>
    <w:p w14:paraId="4734776C">
      <w:pPr>
        <w:rPr>
          <w:rFonts w:ascii="黑体" w:eastAsia="黑体"/>
          <w:color w:val="auto"/>
          <w:sz w:val="24"/>
        </w:rPr>
      </w:pPr>
    </w:p>
    <w:tbl>
      <w:tblPr>
        <w:tblStyle w:val="11"/>
        <w:tblW w:w="9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409"/>
        <w:gridCol w:w="772"/>
        <w:gridCol w:w="1742"/>
        <w:gridCol w:w="1732"/>
        <w:gridCol w:w="1546"/>
        <w:gridCol w:w="962"/>
      </w:tblGrid>
      <w:tr w14:paraId="2103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Borders>
              <w:top w:val="single" w:color="auto" w:sz="8" w:space="0"/>
              <w:left w:val="nil"/>
              <w:bottom w:val="single" w:color="auto" w:sz="2" w:space="0"/>
              <w:right w:val="single" w:color="auto" w:sz="2" w:space="0"/>
            </w:tcBorders>
            <w:noWrap w:val="0"/>
            <w:vAlign w:val="center"/>
          </w:tcPr>
          <w:p w14:paraId="7CE161E6">
            <w:pPr>
              <w:keepNext w:val="0"/>
              <w:keepLines w:val="0"/>
              <w:pageBreakBefore w:val="0"/>
              <w:widowControl w:val="0"/>
              <w:kinsoku/>
              <w:wordWrap/>
              <w:overflowPunct/>
              <w:topLinePunct w:val="0"/>
              <w:autoSpaceDE/>
              <w:autoSpaceDN/>
              <w:bidi w:val="0"/>
              <w:adjustRightInd w:val="0"/>
              <w:snapToGrid w:val="0"/>
              <w:spacing w:line="240" w:lineRule="exact"/>
              <w:ind w:left="-178" w:leftChars="-85" w:right="-105" w:rightChars="-50"/>
              <w:jc w:val="center"/>
              <w:textAlignment w:val="auto"/>
              <w:rPr>
                <w:rFonts w:ascii="宋体" w:hAnsi="宋体"/>
                <w:b/>
                <w:bCs/>
                <w:color w:val="auto"/>
                <w:sz w:val="18"/>
                <w:szCs w:val="18"/>
              </w:rPr>
            </w:pPr>
            <w:r>
              <w:rPr>
                <w:rFonts w:hint="eastAsia" w:ascii="宋体" w:hAnsi="宋体"/>
                <w:b/>
                <w:bCs/>
                <w:color w:val="auto"/>
                <w:sz w:val="18"/>
                <w:szCs w:val="18"/>
              </w:rPr>
              <w:t>表号</w:t>
            </w:r>
          </w:p>
        </w:tc>
        <w:tc>
          <w:tcPr>
            <w:tcW w:w="2409" w:type="dxa"/>
            <w:tcBorders>
              <w:top w:val="single" w:color="auto" w:sz="8" w:space="0"/>
              <w:left w:val="single" w:color="auto" w:sz="2" w:space="0"/>
              <w:bottom w:val="single" w:color="auto" w:sz="2" w:space="0"/>
              <w:right w:val="single" w:color="auto" w:sz="2" w:space="0"/>
            </w:tcBorders>
            <w:noWrap w:val="0"/>
            <w:vAlign w:val="center"/>
          </w:tcPr>
          <w:p w14:paraId="63E3C5DF">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jc w:val="center"/>
              <w:textAlignment w:val="auto"/>
              <w:rPr>
                <w:rFonts w:ascii="宋体" w:hAnsi="宋体"/>
                <w:b/>
                <w:bCs/>
                <w:color w:val="auto"/>
                <w:sz w:val="18"/>
                <w:szCs w:val="18"/>
              </w:rPr>
            </w:pPr>
            <w:r>
              <w:rPr>
                <w:rFonts w:hint="eastAsia" w:ascii="宋体" w:hAnsi="宋体"/>
                <w:b/>
                <w:bCs/>
                <w:color w:val="auto"/>
                <w:sz w:val="18"/>
                <w:szCs w:val="18"/>
              </w:rPr>
              <w:t>表    名</w:t>
            </w:r>
          </w:p>
        </w:tc>
        <w:tc>
          <w:tcPr>
            <w:tcW w:w="772" w:type="dxa"/>
            <w:tcBorders>
              <w:top w:val="single" w:color="auto" w:sz="8" w:space="0"/>
              <w:left w:val="single" w:color="auto" w:sz="2" w:space="0"/>
              <w:bottom w:val="single" w:color="auto" w:sz="2" w:space="0"/>
              <w:right w:val="single" w:color="auto" w:sz="2" w:space="0"/>
            </w:tcBorders>
            <w:noWrap w:val="0"/>
            <w:vAlign w:val="center"/>
          </w:tcPr>
          <w:p w14:paraId="37A8DF19">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
                <w:bCs/>
                <w:color w:val="auto"/>
                <w:sz w:val="18"/>
                <w:szCs w:val="18"/>
              </w:rPr>
            </w:pPr>
            <w:r>
              <w:rPr>
                <w:rFonts w:hint="eastAsia" w:ascii="宋体" w:hAnsi="宋体"/>
                <w:b/>
                <w:bCs/>
                <w:color w:val="auto"/>
                <w:sz w:val="18"/>
                <w:szCs w:val="18"/>
              </w:rPr>
              <w:t>报告</w:t>
            </w:r>
          </w:p>
          <w:p w14:paraId="310A93F1">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
                <w:bCs/>
                <w:color w:val="auto"/>
                <w:sz w:val="18"/>
                <w:szCs w:val="18"/>
              </w:rPr>
            </w:pPr>
            <w:r>
              <w:rPr>
                <w:rFonts w:hint="eastAsia" w:ascii="宋体" w:hAnsi="宋体"/>
                <w:b/>
                <w:bCs/>
                <w:color w:val="auto"/>
                <w:sz w:val="18"/>
                <w:szCs w:val="18"/>
              </w:rPr>
              <w:t>期别</w:t>
            </w:r>
          </w:p>
        </w:tc>
        <w:tc>
          <w:tcPr>
            <w:tcW w:w="1742" w:type="dxa"/>
            <w:tcBorders>
              <w:top w:val="single" w:color="auto" w:sz="8" w:space="0"/>
              <w:left w:val="single" w:color="auto" w:sz="2" w:space="0"/>
              <w:bottom w:val="single" w:color="auto" w:sz="2" w:space="0"/>
              <w:right w:val="single" w:color="auto" w:sz="2" w:space="0"/>
            </w:tcBorders>
            <w:noWrap w:val="0"/>
            <w:vAlign w:val="center"/>
          </w:tcPr>
          <w:p w14:paraId="6FD3423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
                <w:bCs/>
                <w:color w:val="auto"/>
                <w:sz w:val="18"/>
                <w:szCs w:val="18"/>
              </w:rPr>
            </w:pPr>
            <w:r>
              <w:rPr>
                <w:rFonts w:hint="eastAsia" w:ascii="宋体" w:hAnsi="宋体"/>
                <w:b/>
                <w:bCs/>
                <w:color w:val="auto"/>
                <w:sz w:val="18"/>
                <w:szCs w:val="18"/>
              </w:rPr>
              <w:t>填报范围</w:t>
            </w:r>
          </w:p>
        </w:tc>
        <w:tc>
          <w:tcPr>
            <w:tcW w:w="1732" w:type="dxa"/>
            <w:tcBorders>
              <w:top w:val="single" w:color="auto" w:sz="8" w:space="0"/>
              <w:left w:val="single" w:color="auto" w:sz="2" w:space="0"/>
              <w:bottom w:val="single" w:color="auto" w:sz="2" w:space="0"/>
              <w:right w:val="single" w:color="auto" w:sz="2" w:space="0"/>
            </w:tcBorders>
            <w:noWrap w:val="0"/>
            <w:vAlign w:val="center"/>
          </w:tcPr>
          <w:p w14:paraId="6E7DA158">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
                <w:bCs/>
                <w:color w:val="auto"/>
                <w:sz w:val="18"/>
                <w:szCs w:val="18"/>
              </w:rPr>
            </w:pPr>
            <w:r>
              <w:rPr>
                <w:rFonts w:hint="eastAsia" w:ascii="宋体" w:hAnsi="宋体"/>
                <w:b/>
                <w:bCs/>
                <w:color w:val="auto"/>
                <w:sz w:val="18"/>
                <w:szCs w:val="18"/>
              </w:rPr>
              <w:t>报送单位</w:t>
            </w:r>
          </w:p>
        </w:tc>
        <w:tc>
          <w:tcPr>
            <w:tcW w:w="1546" w:type="dxa"/>
            <w:tcBorders>
              <w:top w:val="single" w:color="auto" w:sz="8" w:space="0"/>
              <w:left w:val="single" w:color="auto" w:sz="2" w:space="0"/>
              <w:bottom w:val="single" w:color="auto" w:sz="2" w:space="0"/>
              <w:right w:val="single" w:color="auto" w:sz="2" w:space="0"/>
            </w:tcBorders>
            <w:noWrap w:val="0"/>
            <w:vAlign w:val="center"/>
          </w:tcPr>
          <w:p w14:paraId="41C243F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
                <w:bCs/>
                <w:color w:val="auto"/>
                <w:sz w:val="18"/>
                <w:szCs w:val="18"/>
              </w:rPr>
            </w:pPr>
            <w:r>
              <w:rPr>
                <w:rFonts w:hint="eastAsia" w:ascii="宋体" w:hAnsi="宋体"/>
                <w:b/>
                <w:bCs/>
                <w:color w:val="auto"/>
                <w:sz w:val="18"/>
                <w:szCs w:val="18"/>
              </w:rPr>
              <w:t>报送日期</w:t>
            </w:r>
          </w:p>
          <w:p w14:paraId="55C1EF79">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
                <w:bCs/>
                <w:color w:val="auto"/>
                <w:sz w:val="18"/>
                <w:szCs w:val="18"/>
              </w:rPr>
            </w:pPr>
            <w:r>
              <w:rPr>
                <w:rFonts w:hint="eastAsia" w:ascii="宋体" w:hAnsi="宋体"/>
                <w:b/>
                <w:bCs/>
                <w:color w:val="auto"/>
                <w:sz w:val="18"/>
                <w:szCs w:val="18"/>
              </w:rPr>
              <w:t>及方式</w:t>
            </w:r>
          </w:p>
        </w:tc>
        <w:tc>
          <w:tcPr>
            <w:tcW w:w="962" w:type="dxa"/>
            <w:tcBorders>
              <w:top w:val="single" w:color="auto" w:sz="8" w:space="0"/>
              <w:left w:val="single" w:color="auto" w:sz="2" w:space="0"/>
              <w:bottom w:val="single" w:color="auto" w:sz="2" w:space="0"/>
              <w:right w:val="nil"/>
            </w:tcBorders>
            <w:noWrap w:val="0"/>
            <w:vAlign w:val="center"/>
          </w:tcPr>
          <w:p w14:paraId="5E465FB4">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ascii="宋体" w:hAnsi="宋体"/>
                <w:b/>
                <w:bCs/>
                <w:color w:val="auto"/>
                <w:sz w:val="18"/>
                <w:szCs w:val="18"/>
              </w:rPr>
            </w:pPr>
            <w:r>
              <w:rPr>
                <w:rFonts w:hint="eastAsia" w:ascii="宋体" w:hAnsi="宋体"/>
                <w:b/>
                <w:bCs/>
                <w:color w:val="auto"/>
                <w:sz w:val="18"/>
                <w:szCs w:val="18"/>
              </w:rPr>
              <w:t>页码</w:t>
            </w:r>
          </w:p>
        </w:tc>
      </w:tr>
      <w:tr w14:paraId="0166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56" w:type="dxa"/>
            <w:tcBorders>
              <w:top w:val="single" w:color="auto" w:sz="2" w:space="0"/>
              <w:left w:val="nil"/>
              <w:bottom w:val="single" w:color="auto" w:sz="2" w:space="0"/>
              <w:right w:val="single" w:color="auto" w:sz="2" w:space="0"/>
            </w:tcBorders>
            <w:noWrap w:val="0"/>
            <w:vAlign w:val="center"/>
          </w:tcPr>
          <w:p w14:paraId="03715D5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N</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53FD028F">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bCs/>
                <w:color w:val="auto"/>
                <w:sz w:val="18"/>
                <w:szCs w:val="18"/>
              </w:rPr>
              <w:t>对外承包工程</w:t>
            </w:r>
            <w:r>
              <w:rPr>
                <w:rFonts w:hint="eastAsia" w:ascii="宋体" w:hAnsi="宋体"/>
                <w:bCs/>
                <w:color w:val="auto"/>
                <w:sz w:val="18"/>
                <w:szCs w:val="18"/>
                <w:lang w:eastAsia="zh-CN"/>
              </w:rPr>
              <w:t>企业年度经营</w:t>
            </w:r>
            <w:r>
              <w:rPr>
                <w:rFonts w:hint="eastAsia" w:ascii="宋体" w:hAnsi="宋体"/>
                <w:bCs/>
                <w:color w:val="auto"/>
                <w:sz w:val="18"/>
                <w:szCs w:val="18"/>
              </w:rPr>
              <w:t>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1E9A46ED">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lang w:eastAsia="zh-CN"/>
              </w:rPr>
              <w:t>年</w:t>
            </w:r>
            <w:r>
              <w:rPr>
                <w:rFonts w:hint="eastAsia" w:ascii="宋体" w:hAnsi="宋体"/>
                <w:bCs/>
                <w:color w:val="auto"/>
                <w:sz w:val="18"/>
                <w:szCs w:val="18"/>
              </w:rPr>
              <w:t xml:space="preserve">报 </w:t>
            </w:r>
          </w:p>
        </w:tc>
        <w:tc>
          <w:tcPr>
            <w:tcW w:w="1742" w:type="dxa"/>
            <w:tcBorders>
              <w:top w:val="single" w:color="auto" w:sz="2" w:space="0"/>
              <w:left w:val="single" w:color="auto" w:sz="2" w:space="0"/>
              <w:bottom w:val="single" w:color="auto" w:sz="2" w:space="0"/>
              <w:right w:val="single" w:color="auto" w:sz="2" w:space="0"/>
            </w:tcBorders>
            <w:noWrap w:val="0"/>
            <w:vAlign w:val="top"/>
          </w:tcPr>
          <w:p w14:paraId="2E7A03B0">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p>
          <w:p w14:paraId="1AA05EC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发生对外承包工程业务的企业</w:t>
            </w:r>
          </w:p>
          <w:p w14:paraId="63B5AB1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000B546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046976F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发生对外承包工程业务的企业</w:t>
            </w:r>
          </w:p>
          <w:p w14:paraId="0DA4A426">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56639BE3">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82" w:rightChars="-39" w:firstLine="106" w:firstLineChars="59"/>
              <w:jc w:val="center"/>
              <w:textAlignment w:val="auto"/>
              <w:rPr>
                <w:rFonts w:ascii="宋体" w:hAnsi="宋体"/>
                <w:bCs/>
                <w:color w:val="auto"/>
                <w:sz w:val="18"/>
                <w:szCs w:val="18"/>
              </w:rPr>
            </w:pPr>
            <w:r>
              <w:rPr>
                <w:rFonts w:hint="eastAsia" w:ascii="宋体" w:hAnsi="宋体"/>
                <w:bCs/>
                <w:color w:val="auto"/>
                <w:sz w:val="18"/>
                <w:szCs w:val="18"/>
                <w:lang w:val="en-US" w:eastAsia="zh-CN"/>
              </w:rPr>
              <w:t>年后5月31日前</w:t>
            </w:r>
            <w:r>
              <w:rPr>
                <w:rFonts w:hint="eastAsia" w:ascii="宋体" w:hAnsi="宋体"/>
                <w:bCs/>
                <w:color w:val="auto"/>
                <w:sz w:val="18"/>
                <w:szCs w:val="18"/>
              </w:rPr>
              <w:t>，</w:t>
            </w:r>
          </w:p>
          <w:p w14:paraId="2F9EA14E">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82" w:rightChars="-39" w:firstLine="106" w:firstLineChars="59"/>
              <w:jc w:val="center"/>
              <w:textAlignment w:val="auto"/>
              <w:rPr>
                <w:rFonts w:ascii="宋体" w:hAnsi="宋体"/>
                <w:bCs/>
                <w:color w:val="auto"/>
                <w:sz w:val="18"/>
                <w:szCs w:val="18"/>
              </w:rPr>
            </w:pPr>
            <w:r>
              <w:rPr>
                <w:rFonts w:hint="eastAsia" w:ascii="宋体" w:hAnsi="宋体"/>
                <w:bCs/>
                <w:color w:val="auto"/>
                <w:sz w:val="18"/>
                <w:szCs w:val="18"/>
              </w:rPr>
              <w:t>网络传输</w:t>
            </w:r>
          </w:p>
        </w:tc>
        <w:tc>
          <w:tcPr>
            <w:tcW w:w="962" w:type="dxa"/>
            <w:tcBorders>
              <w:top w:val="single" w:color="auto" w:sz="2" w:space="0"/>
              <w:left w:val="single" w:color="auto" w:sz="2" w:space="0"/>
              <w:bottom w:val="single" w:color="auto" w:sz="2" w:space="0"/>
              <w:right w:val="nil"/>
            </w:tcBorders>
            <w:noWrap w:val="0"/>
            <w:vAlign w:val="center"/>
          </w:tcPr>
          <w:p w14:paraId="17AE8A9E">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10</w:t>
            </w:r>
          </w:p>
        </w:tc>
      </w:tr>
      <w:tr w14:paraId="7B90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756" w:type="dxa"/>
            <w:tcBorders>
              <w:top w:val="single" w:color="auto" w:sz="2" w:space="0"/>
              <w:left w:val="nil"/>
              <w:bottom w:val="single" w:color="auto" w:sz="2" w:space="0"/>
              <w:right w:val="single" w:color="auto" w:sz="2" w:space="0"/>
            </w:tcBorders>
            <w:noWrap w:val="0"/>
            <w:vAlign w:val="center"/>
          </w:tcPr>
          <w:p w14:paraId="0A82032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1</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142AC51C">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对外承包工程</w:t>
            </w:r>
            <w:r>
              <w:rPr>
                <w:rFonts w:hint="eastAsia" w:ascii="宋体" w:hAnsi="宋体"/>
                <w:bCs/>
                <w:color w:val="auto"/>
                <w:sz w:val="18"/>
                <w:szCs w:val="18"/>
                <w:lang w:eastAsia="zh-CN"/>
              </w:rPr>
              <w:t>总包</w:t>
            </w:r>
            <w:r>
              <w:rPr>
                <w:rFonts w:hint="eastAsia" w:ascii="宋体" w:hAnsi="宋体"/>
                <w:bCs/>
                <w:color w:val="auto"/>
                <w:sz w:val="18"/>
                <w:szCs w:val="18"/>
              </w:rPr>
              <w:t>项目</w:t>
            </w:r>
            <w:r>
              <w:rPr>
                <w:rFonts w:hint="eastAsia" w:ascii="宋体" w:hAnsi="宋体"/>
                <w:bCs/>
                <w:color w:val="auto"/>
                <w:sz w:val="18"/>
                <w:szCs w:val="18"/>
                <w:lang w:eastAsia="zh-CN"/>
              </w:rPr>
              <w:t>基本信息</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04CEAF2E">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月报</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0C94FDC8">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r>
              <w:rPr>
                <w:rFonts w:hint="eastAsia" w:ascii="宋体" w:hAnsi="宋体"/>
                <w:bCs/>
                <w:color w:val="auto"/>
                <w:sz w:val="18"/>
                <w:szCs w:val="18"/>
              </w:rPr>
              <w:t>同上</w:t>
            </w:r>
          </w:p>
        </w:tc>
        <w:tc>
          <w:tcPr>
            <w:tcW w:w="1732" w:type="dxa"/>
            <w:tcBorders>
              <w:top w:val="single" w:color="auto" w:sz="2" w:space="0"/>
              <w:left w:val="single" w:color="auto" w:sz="2" w:space="0"/>
              <w:bottom w:val="single" w:color="auto" w:sz="2" w:space="0"/>
              <w:right w:val="single" w:color="auto" w:sz="2" w:space="0"/>
            </w:tcBorders>
            <w:noWrap w:val="0"/>
            <w:vAlign w:val="center"/>
          </w:tcPr>
          <w:p w14:paraId="108DFBF4">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r>
              <w:rPr>
                <w:rFonts w:hint="eastAsia" w:ascii="宋体" w:hAnsi="宋体"/>
                <w:bCs/>
                <w:color w:val="auto"/>
                <w:sz w:val="18"/>
                <w:szCs w:val="18"/>
              </w:rPr>
              <w:t>同上</w:t>
            </w:r>
          </w:p>
        </w:tc>
        <w:tc>
          <w:tcPr>
            <w:tcW w:w="1546" w:type="dxa"/>
            <w:tcBorders>
              <w:top w:val="single" w:color="auto" w:sz="2" w:space="0"/>
              <w:left w:val="single" w:color="auto" w:sz="2" w:space="0"/>
              <w:bottom w:val="single" w:color="auto" w:sz="2" w:space="0"/>
              <w:right w:val="single" w:color="auto" w:sz="2" w:space="0"/>
            </w:tcBorders>
            <w:noWrap w:val="0"/>
            <w:vAlign w:val="center"/>
          </w:tcPr>
          <w:p w14:paraId="4CAF09BF">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lang w:val="en-US" w:eastAsia="zh-CN"/>
              </w:rPr>
              <w:t>月后10日前</w:t>
            </w:r>
            <w:r>
              <w:rPr>
                <w:rFonts w:hint="eastAsia" w:ascii="宋体" w:hAnsi="宋体"/>
                <w:bCs/>
                <w:color w:val="auto"/>
                <w:sz w:val="18"/>
                <w:szCs w:val="18"/>
              </w:rPr>
              <w:t>，</w:t>
            </w:r>
          </w:p>
          <w:p w14:paraId="0F75390E">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网络传输</w:t>
            </w:r>
          </w:p>
        </w:tc>
        <w:tc>
          <w:tcPr>
            <w:tcW w:w="962" w:type="dxa"/>
            <w:tcBorders>
              <w:top w:val="single" w:color="auto" w:sz="2" w:space="0"/>
              <w:left w:val="single" w:color="auto" w:sz="2" w:space="0"/>
              <w:bottom w:val="single" w:color="auto" w:sz="2" w:space="0"/>
              <w:right w:val="nil"/>
            </w:tcBorders>
            <w:noWrap w:val="0"/>
            <w:vAlign w:val="center"/>
          </w:tcPr>
          <w:p w14:paraId="4A625EE2">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11</w:t>
            </w:r>
          </w:p>
        </w:tc>
      </w:tr>
      <w:tr w14:paraId="44C2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37C52E3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CB</w:t>
            </w:r>
            <w:r>
              <w:rPr>
                <w:rFonts w:hint="eastAsia" w:ascii="宋体" w:hAnsi="宋体"/>
                <w:bCs/>
                <w:color w:val="auto"/>
                <w:sz w:val="18"/>
                <w:szCs w:val="18"/>
                <w:lang w:val="en-US" w:eastAsia="zh-CN"/>
              </w:rPr>
              <w:t>2</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7520F427">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w:t>
            </w:r>
            <w:r>
              <w:rPr>
                <w:rFonts w:hint="eastAsia" w:ascii="宋体" w:hAnsi="宋体"/>
                <w:bCs/>
                <w:color w:val="auto"/>
                <w:sz w:val="18"/>
                <w:szCs w:val="18"/>
                <w:lang w:eastAsia="zh-CN"/>
              </w:rPr>
              <w:t>基本信息</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19F82F3E">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1A9522D9">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16701D6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22250ABC">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167E2BF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60849AC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250E434D">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02584225">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6CA3CCF4">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12</w:t>
            </w:r>
          </w:p>
        </w:tc>
      </w:tr>
      <w:tr w14:paraId="1A90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0016AA5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CB</w:t>
            </w:r>
            <w:r>
              <w:rPr>
                <w:rFonts w:hint="eastAsia" w:ascii="宋体" w:hAnsi="宋体"/>
                <w:bCs/>
                <w:color w:val="auto"/>
                <w:sz w:val="18"/>
                <w:szCs w:val="18"/>
                <w:lang w:val="en-US" w:eastAsia="zh-CN"/>
              </w:rPr>
              <w:t>3</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203C7F60">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对外承包工程</w:t>
            </w:r>
            <w:r>
              <w:rPr>
                <w:rFonts w:hint="eastAsia" w:ascii="宋体" w:hAnsi="宋体"/>
                <w:bCs/>
                <w:color w:val="auto"/>
                <w:sz w:val="18"/>
                <w:szCs w:val="18"/>
                <w:lang w:eastAsia="zh-CN"/>
              </w:rPr>
              <w:t>总包</w:t>
            </w:r>
            <w:r>
              <w:rPr>
                <w:rFonts w:hint="eastAsia" w:ascii="宋体" w:hAnsi="宋体"/>
                <w:bCs/>
                <w:color w:val="auto"/>
                <w:sz w:val="18"/>
                <w:szCs w:val="18"/>
              </w:rPr>
              <w:t>项目</w:t>
            </w:r>
            <w:r>
              <w:rPr>
                <w:rFonts w:hint="eastAsia" w:ascii="宋体" w:hAnsi="宋体"/>
                <w:bCs/>
                <w:color w:val="auto"/>
                <w:sz w:val="18"/>
                <w:szCs w:val="18"/>
                <w:lang w:eastAsia="zh-CN"/>
              </w:rPr>
              <w:t>完成情况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71481D04">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0D2B59E1">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43966D88">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56566FE1">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0CE30139">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7A6129E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63993F4A">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35F1C690">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43FEADD7">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13</w:t>
            </w:r>
          </w:p>
        </w:tc>
      </w:tr>
      <w:tr w14:paraId="1E19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53B7E2D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4</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4B450D15">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w:t>
            </w:r>
            <w:r>
              <w:rPr>
                <w:rFonts w:hint="eastAsia" w:ascii="宋体" w:hAnsi="宋体"/>
                <w:bCs/>
                <w:color w:val="auto"/>
                <w:sz w:val="18"/>
                <w:szCs w:val="18"/>
                <w:lang w:eastAsia="zh-CN"/>
              </w:rPr>
              <w:t>完成情况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16868295">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583B3026">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15E9941E">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3B1556DF">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5636F75F">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233C592C">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3778C9EE">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0147C81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518600EE">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14</w:t>
            </w:r>
          </w:p>
        </w:tc>
      </w:tr>
      <w:tr w14:paraId="3436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756" w:type="dxa"/>
            <w:tcBorders>
              <w:top w:val="single" w:color="auto" w:sz="2" w:space="0"/>
              <w:left w:val="nil"/>
              <w:bottom w:val="single" w:color="auto" w:sz="8" w:space="0"/>
              <w:right w:val="single" w:color="auto" w:sz="2" w:space="0"/>
            </w:tcBorders>
            <w:noWrap w:val="0"/>
            <w:vAlign w:val="center"/>
          </w:tcPr>
          <w:p w14:paraId="5B7CEA5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5</w:t>
            </w:r>
          </w:p>
        </w:tc>
        <w:tc>
          <w:tcPr>
            <w:tcW w:w="2409" w:type="dxa"/>
            <w:tcBorders>
              <w:top w:val="single" w:color="auto" w:sz="2" w:space="0"/>
              <w:left w:val="single" w:color="auto" w:sz="2" w:space="0"/>
              <w:bottom w:val="single" w:color="auto" w:sz="8" w:space="0"/>
              <w:right w:val="single" w:color="auto" w:sz="2" w:space="0"/>
            </w:tcBorders>
            <w:noWrap w:val="0"/>
            <w:vAlign w:val="center"/>
          </w:tcPr>
          <w:p w14:paraId="400C1AAC">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eastAsia="宋体" w:cs="宋体"/>
                <w:i w:val="0"/>
                <w:caps w:val="0"/>
                <w:color w:val="auto"/>
                <w:spacing w:val="0"/>
                <w:sz w:val="18"/>
                <w:szCs w:val="18"/>
                <w:lang w:eastAsia="zh-CN"/>
              </w:rPr>
              <w:t>对外承包工程项目中方人员构成</w:t>
            </w:r>
            <w:r>
              <w:rPr>
                <w:rFonts w:hint="eastAsia" w:ascii="宋体" w:hAnsi="宋体" w:cs="宋体"/>
                <w:i w:val="0"/>
                <w:caps w:val="0"/>
                <w:color w:val="auto"/>
                <w:spacing w:val="0"/>
                <w:sz w:val="18"/>
                <w:szCs w:val="18"/>
                <w:lang w:eastAsia="zh-CN"/>
              </w:rPr>
              <w:t>及变化</w:t>
            </w:r>
            <w:r>
              <w:rPr>
                <w:rFonts w:hint="eastAsia" w:ascii="宋体" w:hAnsi="宋体" w:eastAsia="宋体" w:cs="宋体"/>
                <w:i w:val="0"/>
                <w:caps w:val="0"/>
                <w:color w:val="auto"/>
                <w:spacing w:val="0"/>
                <w:sz w:val="18"/>
                <w:szCs w:val="18"/>
                <w:lang w:eastAsia="zh-CN"/>
              </w:rPr>
              <w:t>情况</w:t>
            </w:r>
          </w:p>
        </w:tc>
        <w:tc>
          <w:tcPr>
            <w:tcW w:w="772" w:type="dxa"/>
            <w:tcBorders>
              <w:top w:val="single" w:color="auto" w:sz="2" w:space="0"/>
              <w:left w:val="single" w:color="auto" w:sz="2" w:space="0"/>
              <w:bottom w:val="single" w:color="auto" w:sz="8" w:space="0"/>
              <w:right w:val="single" w:color="auto" w:sz="2" w:space="0"/>
            </w:tcBorders>
            <w:noWrap w:val="0"/>
            <w:vAlign w:val="center"/>
          </w:tcPr>
          <w:p w14:paraId="0CBF91A5">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8" w:space="0"/>
              <w:right w:val="single" w:color="auto" w:sz="2" w:space="0"/>
            </w:tcBorders>
            <w:noWrap w:val="0"/>
            <w:vAlign w:val="center"/>
          </w:tcPr>
          <w:p w14:paraId="0B417BD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318739F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1875E5B6">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8" w:space="0"/>
              <w:right w:val="single" w:color="auto" w:sz="2" w:space="0"/>
            </w:tcBorders>
            <w:noWrap w:val="0"/>
            <w:vAlign w:val="center"/>
          </w:tcPr>
          <w:p w14:paraId="446A6F4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311D4D62">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1C8A0EB1">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8" w:space="0"/>
              <w:right w:val="single" w:color="auto" w:sz="2" w:space="0"/>
            </w:tcBorders>
            <w:noWrap w:val="0"/>
            <w:vAlign w:val="center"/>
          </w:tcPr>
          <w:p w14:paraId="0E85B8D6">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8" w:space="0"/>
              <w:right w:val="nil"/>
            </w:tcBorders>
            <w:noWrap w:val="0"/>
            <w:vAlign w:val="center"/>
          </w:tcPr>
          <w:p w14:paraId="7D0391A5">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15</w:t>
            </w:r>
          </w:p>
        </w:tc>
      </w:tr>
    </w:tbl>
    <w:p w14:paraId="52AE1FAB">
      <w:pPr>
        <w:rPr>
          <w:rFonts w:ascii="宋体" w:hAnsi="宋体"/>
          <w:b/>
          <w:color w:val="auto"/>
          <w:sz w:val="18"/>
          <w:szCs w:val="18"/>
        </w:rPr>
      </w:pPr>
    </w:p>
    <w:p w14:paraId="084CDEC3">
      <w:pPr>
        <w:rPr>
          <w:rFonts w:ascii="黑体" w:eastAsia="黑体"/>
          <w:color w:val="auto"/>
          <w:sz w:val="30"/>
          <w:szCs w:val="30"/>
        </w:rPr>
      </w:pPr>
    </w:p>
    <w:p w14:paraId="0FD3C775">
      <w:pPr>
        <w:rPr>
          <w:color w:val="auto"/>
        </w:rPr>
      </w:pPr>
    </w:p>
    <w:p w14:paraId="22E686E5">
      <w:pPr>
        <w:numPr>
          <w:ilvl w:val="0"/>
          <w:numId w:val="0"/>
        </w:numPr>
        <w:tabs>
          <w:tab w:val="left" w:pos="0"/>
        </w:tabs>
        <w:ind w:left="0" w:leftChars="0" w:firstLine="0" w:firstLineChars="0"/>
        <w:jc w:val="center"/>
        <w:outlineLvl w:val="0"/>
        <w:rPr>
          <w:rFonts w:hint="eastAsia" w:ascii="黑体" w:hAnsi="宋体" w:eastAsia="黑体"/>
          <w:b/>
          <w:color w:val="auto"/>
          <w:sz w:val="32"/>
          <w:szCs w:val="32"/>
        </w:rPr>
      </w:pPr>
      <w:r>
        <w:rPr>
          <w:rFonts w:hint="eastAsia" w:ascii="黑体" w:hAnsi="宋体" w:eastAsia="黑体"/>
          <w:b/>
          <w:color w:val="auto"/>
          <w:sz w:val="32"/>
          <w:szCs w:val="32"/>
        </w:rPr>
        <w:br w:type="page"/>
      </w:r>
      <w:bookmarkStart w:id="9" w:name="_Toc1495138847"/>
      <w:bookmarkStart w:id="10" w:name="_Toc1714269331"/>
      <w:bookmarkStart w:id="11" w:name="_Toc676885643"/>
      <w:r>
        <w:rPr>
          <w:rFonts w:hint="eastAsia" w:ascii="Calibri" w:hAnsi="Calibri" w:eastAsia="黑体"/>
          <w:b w:val="0"/>
          <w:color w:val="auto"/>
          <w:sz w:val="32"/>
          <w:szCs w:val="24"/>
          <w:lang w:eastAsia="zh-CN"/>
        </w:rPr>
        <w:t>三、</w:t>
      </w:r>
      <w:r>
        <w:rPr>
          <w:rFonts w:hint="eastAsia" w:ascii="黑体" w:hAnsi="Calibri" w:eastAsia="黑体"/>
          <w:b w:val="0"/>
          <w:bCs/>
          <w:color w:val="auto"/>
          <w:sz w:val="32"/>
          <w:szCs w:val="32"/>
        </w:rPr>
        <w:t>调 查 表 式</w:t>
      </w:r>
      <w:bookmarkEnd w:id="9"/>
      <w:bookmarkEnd w:id="10"/>
      <w:bookmarkEnd w:id="11"/>
    </w:p>
    <w:p w14:paraId="584F1651">
      <w:pPr>
        <w:jc w:val="center"/>
        <w:outlineLvl w:val="1"/>
        <w:rPr>
          <w:rFonts w:hint="eastAsia" w:ascii="宋体" w:hAnsi="宋体" w:eastAsia="宋体" w:cs="Times New Roman"/>
          <w:b w:val="0"/>
          <w:bCs/>
          <w:color w:val="auto"/>
          <w:kern w:val="2"/>
          <w:sz w:val="32"/>
          <w:szCs w:val="32"/>
          <w:lang w:val="en-US" w:eastAsia="zh-CN" w:bidi="ar-SA"/>
        </w:rPr>
      </w:pPr>
      <w:bookmarkStart w:id="12" w:name="_Toc1456415703"/>
      <w:bookmarkStart w:id="13" w:name="_Toc1590882812"/>
      <w:r>
        <w:rPr>
          <w:rFonts w:hint="eastAsia" w:ascii="宋体" w:hAnsi="宋体"/>
          <w:b w:val="0"/>
          <w:bCs/>
          <w:color w:val="auto"/>
          <w:sz w:val="32"/>
          <w:szCs w:val="32"/>
          <w:lang w:val="en-US" w:eastAsia="zh-CN"/>
        </w:rPr>
        <w:t>对外承包工程企业年度经营情况</w:t>
      </w:r>
      <w:bookmarkEnd w:id="12"/>
      <w:bookmarkEnd w:id="13"/>
    </w:p>
    <w:tbl>
      <w:tblPr>
        <w:tblStyle w:val="11"/>
        <w:tblW w:w="966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5"/>
        <w:gridCol w:w="1258"/>
        <w:gridCol w:w="2900"/>
      </w:tblGrid>
      <w:tr w14:paraId="0D33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5505" w:type="dxa"/>
            <w:tcBorders>
              <w:top w:val="nil"/>
              <w:left w:val="nil"/>
              <w:bottom w:val="nil"/>
              <w:right w:val="nil"/>
            </w:tcBorders>
            <w:noWrap/>
            <w:tcMar>
              <w:top w:w="0" w:type="dxa"/>
              <w:left w:w="108" w:type="dxa"/>
              <w:bottom w:w="0" w:type="dxa"/>
              <w:right w:w="108" w:type="dxa"/>
            </w:tcMar>
            <w:vAlign w:val="center"/>
          </w:tcPr>
          <w:p w14:paraId="276ED1AB">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p>
        </w:tc>
        <w:tc>
          <w:tcPr>
            <w:tcW w:w="1258" w:type="dxa"/>
            <w:tcBorders>
              <w:top w:val="nil"/>
              <w:left w:val="nil"/>
              <w:bottom w:val="nil"/>
              <w:right w:val="nil"/>
            </w:tcBorders>
            <w:noWrap/>
            <w:tcMar>
              <w:top w:w="0" w:type="dxa"/>
              <w:left w:w="108" w:type="dxa"/>
              <w:bottom w:w="0" w:type="dxa"/>
              <w:right w:w="108" w:type="dxa"/>
            </w:tcMar>
            <w:vAlign w:val="center"/>
          </w:tcPr>
          <w:p w14:paraId="7CD5717C">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p>
        </w:tc>
        <w:tc>
          <w:tcPr>
            <w:tcW w:w="2900" w:type="dxa"/>
            <w:tcBorders>
              <w:top w:val="nil"/>
              <w:left w:val="nil"/>
              <w:bottom w:val="nil"/>
              <w:right w:val="nil"/>
            </w:tcBorders>
            <w:noWrap/>
            <w:tcMar>
              <w:top w:w="0" w:type="dxa"/>
              <w:left w:w="108" w:type="dxa"/>
              <w:bottom w:w="0" w:type="dxa"/>
              <w:right w:w="108" w:type="dxa"/>
            </w:tcMar>
            <w:vAlign w:val="center"/>
          </w:tcPr>
          <w:p w14:paraId="33992032">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表    号：CBN表</w:t>
            </w:r>
          </w:p>
        </w:tc>
      </w:tr>
      <w:tr w14:paraId="1D1A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63" w:type="dxa"/>
            <w:gridSpan w:val="2"/>
            <w:tcBorders>
              <w:top w:val="nil"/>
              <w:left w:val="nil"/>
              <w:bottom w:val="nil"/>
              <w:right w:val="nil"/>
            </w:tcBorders>
            <w:noWrap/>
            <w:tcMar>
              <w:top w:w="0" w:type="dxa"/>
              <w:left w:w="108" w:type="dxa"/>
              <w:bottom w:w="0" w:type="dxa"/>
              <w:right w:w="108" w:type="dxa"/>
            </w:tcMar>
            <w:vAlign w:val="center"/>
          </w:tcPr>
          <w:p w14:paraId="2428B318">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4317D716">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 xml:space="preserve">制定机关：商务部 </w:t>
            </w:r>
            <w:r>
              <w:rPr>
                <w:rStyle w:val="15"/>
                <w:color w:val="auto"/>
                <w:spacing w:val="0"/>
                <w:w w:val="100"/>
                <w:lang w:val="en-US" w:eastAsia="zh-CN" w:bidi="ar"/>
              </w:rPr>
              <w:t xml:space="preserve">            </w:t>
            </w:r>
          </w:p>
        </w:tc>
      </w:tr>
      <w:tr w14:paraId="5AFA9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1E0DD1CA">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p>
        </w:tc>
        <w:tc>
          <w:tcPr>
            <w:tcW w:w="1258" w:type="dxa"/>
            <w:tcBorders>
              <w:top w:val="nil"/>
              <w:left w:val="nil"/>
              <w:bottom w:val="nil"/>
              <w:right w:val="nil"/>
            </w:tcBorders>
            <w:noWrap/>
            <w:tcMar>
              <w:top w:w="0" w:type="dxa"/>
              <w:left w:w="108" w:type="dxa"/>
              <w:bottom w:w="0" w:type="dxa"/>
              <w:right w:w="108" w:type="dxa"/>
            </w:tcMar>
            <w:vAlign w:val="center"/>
          </w:tcPr>
          <w:p w14:paraId="05889D87">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53D0C5AF">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批准机关：国家统计局</w:t>
            </w:r>
          </w:p>
        </w:tc>
      </w:tr>
      <w:tr w14:paraId="4F85F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7B9CB687">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企业（单位）名称：</w:t>
            </w:r>
          </w:p>
        </w:tc>
        <w:tc>
          <w:tcPr>
            <w:tcW w:w="1258" w:type="dxa"/>
            <w:tcBorders>
              <w:top w:val="nil"/>
              <w:left w:val="nil"/>
              <w:bottom w:val="nil"/>
              <w:right w:val="nil"/>
            </w:tcBorders>
            <w:noWrap/>
            <w:tcMar>
              <w:top w:w="0" w:type="dxa"/>
              <w:left w:w="108" w:type="dxa"/>
              <w:bottom w:w="0" w:type="dxa"/>
              <w:right w:w="108" w:type="dxa"/>
            </w:tcMar>
            <w:vAlign w:val="center"/>
          </w:tcPr>
          <w:p w14:paraId="3C78F8E1">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55CA2903">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4C16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04CCAA42">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统一社会信用代码：□□□□□□□□□□□□□□□□□□</w:t>
            </w:r>
          </w:p>
        </w:tc>
        <w:tc>
          <w:tcPr>
            <w:tcW w:w="1258" w:type="dxa"/>
            <w:tcBorders>
              <w:top w:val="nil"/>
              <w:left w:val="nil"/>
              <w:bottom w:val="nil"/>
              <w:right w:val="nil"/>
            </w:tcBorders>
            <w:noWrap/>
            <w:tcMar>
              <w:top w:w="0" w:type="dxa"/>
              <w:left w:w="108" w:type="dxa"/>
              <w:bottom w:w="0" w:type="dxa"/>
              <w:right w:w="108" w:type="dxa"/>
            </w:tcMar>
            <w:vAlign w:val="center"/>
          </w:tcPr>
          <w:p w14:paraId="7C74063B">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25FF232C">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1DAC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03202B5E">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企业性质：□公有控股经济/□非公有控股经济</w:t>
            </w:r>
          </w:p>
        </w:tc>
        <w:tc>
          <w:tcPr>
            <w:tcW w:w="1258" w:type="dxa"/>
            <w:tcBorders>
              <w:top w:val="nil"/>
              <w:left w:val="nil"/>
              <w:bottom w:val="nil"/>
              <w:right w:val="nil"/>
            </w:tcBorders>
            <w:noWrap/>
            <w:tcMar>
              <w:top w:w="0" w:type="dxa"/>
              <w:left w:w="108" w:type="dxa"/>
              <w:bottom w:w="0" w:type="dxa"/>
              <w:right w:w="108" w:type="dxa"/>
            </w:tcMar>
            <w:vAlign w:val="center"/>
          </w:tcPr>
          <w:p w14:paraId="0C075F3B">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0F2ADF06">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计量单位：万元人民币、人</w:t>
            </w:r>
          </w:p>
        </w:tc>
      </w:tr>
      <w:tr w14:paraId="3A64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63" w:type="dxa"/>
            <w:gridSpan w:val="3"/>
            <w:tcBorders>
              <w:top w:val="nil"/>
              <w:left w:val="nil"/>
              <w:bottom w:val="single" w:color="auto" w:sz="4" w:space="0"/>
              <w:right w:val="nil"/>
            </w:tcBorders>
            <w:noWrap/>
            <w:tcMar>
              <w:top w:w="0" w:type="dxa"/>
              <w:left w:w="108" w:type="dxa"/>
              <w:bottom w:w="0" w:type="dxa"/>
              <w:right w:w="108" w:type="dxa"/>
            </w:tcMar>
            <w:vAlign w:val="center"/>
          </w:tcPr>
          <w:p w14:paraId="78EACC38">
            <w:pPr>
              <w:keepNext w:val="0"/>
              <w:keepLines w:val="0"/>
              <w:widowControl/>
              <w:suppressLineNumbers w:val="0"/>
              <w:ind w:firstLine="4680" w:firstLineChars="2600"/>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 xml:space="preserve">2 0  　年   </w:t>
            </w:r>
          </w:p>
        </w:tc>
      </w:tr>
      <w:tr w14:paraId="2ADB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0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317C853">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指标</w:t>
            </w:r>
          </w:p>
        </w:tc>
        <w:tc>
          <w:tcPr>
            <w:tcW w:w="125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92E2651">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单位</w:t>
            </w:r>
          </w:p>
        </w:tc>
        <w:tc>
          <w:tcPr>
            <w:tcW w:w="2900" w:type="dxa"/>
            <w:tcBorders>
              <w:top w:val="single" w:color="auto" w:sz="4" w:space="0"/>
              <w:left w:val="single" w:color="auto" w:sz="4" w:space="0"/>
              <w:bottom w:val="single" w:color="auto" w:sz="4" w:space="0"/>
              <w:right w:val="nil"/>
            </w:tcBorders>
            <w:noWrap w:val="0"/>
            <w:tcMar>
              <w:top w:w="0" w:type="dxa"/>
              <w:left w:w="108" w:type="dxa"/>
              <w:bottom w:w="0" w:type="dxa"/>
              <w:right w:w="108" w:type="dxa"/>
            </w:tcMar>
            <w:vAlign w:val="center"/>
          </w:tcPr>
          <w:p w14:paraId="7BAFED65">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数值</w:t>
            </w:r>
          </w:p>
        </w:tc>
      </w:tr>
      <w:tr w14:paraId="67467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2F1678A">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甲</w:t>
            </w:r>
          </w:p>
        </w:tc>
        <w:tc>
          <w:tcPr>
            <w:tcW w:w="125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DE51BA0">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乙</w:t>
            </w:r>
          </w:p>
        </w:tc>
        <w:tc>
          <w:tcPr>
            <w:tcW w:w="2900" w:type="dxa"/>
            <w:tcBorders>
              <w:top w:val="single" w:color="auto" w:sz="4" w:space="0"/>
              <w:left w:val="single" w:color="auto" w:sz="4" w:space="0"/>
              <w:bottom w:val="single" w:color="auto" w:sz="4" w:space="0"/>
              <w:right w:val="nil"/>
            </w:tcBorders>
            <w:noWrap w:val="0"/>
            <w:tcMar>
              <w:top w:w="0" w:type="dxa"/>
              <w:left w:w="108" w:type="dxa"/>
              <w:bottom w:w="0" w:type="dxa"/>
              <w:right w:w="108" w:type="dxa"/>
            </w:tcMar>
            <w:vAlign w:val="center"/>
          </w:tcPr>
          <w:p w14:paraId="13B081A9">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1</w:t>
            </w:r>
          </w:p>
        </w:tc>
      </w:tr>
      <w:tr w14:paraId="036BA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single" w:color="auto" w:sz="4" w:space="0"/>
              <w:left w:val="nil"/>
              <w:bottom w:val="nil"/>
              <w:right w:val="single" w:color="auto" w:sz="4" w:space="0"/>
            </w:tcBorders>
            <w:noWrap w:val="0"/>
            <w:tcMar>
              <w:top w:w="0" w:type="dxa"/>
              <w:left w:w="108" w:type="dxa"/>
              <w:bottom w:w="0" w:type="dxa"/>
              <w:right w:w="108" w:type="dxa"/>
            </w:tcMar>
            <w:vAlign w:val="center"/>
          </w:tcPr>
          <w:p w14:paraId="26698BDB">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资产总计</w:t>
            </w:r>
          </w:p>
        </w:tc>
        <w:tc>
          <w:tcPr>
            <w:tcW w:w="1258" w:type="dxa"/>
            <w:tcBorders>
              <w:top w:val="single" w:color="auto" w:sz="4" w:space="0"/>
              <w:left w:val="single" w:color="auto" w:sz="4" w:space="0"/>
              <w:bottom w:val="nil"/>
              <w:right w:val="single" w:color="auto" w:sz="4" w:space="0"/>
            </w:tcBorders>
            <w:noWrap w:val="0"/>
            <w:tcMar>
              <w:top w:w="0" w:type="dxa"/>
              <w:left w:w="108" w:type="dxa"/>
              <w:bottom w:w="0" w:type="dxa"/>
              <w:right w:w="108" w:type="dxa"/>
            </w:tcMar>
            <w:vAlign w:val="center"/>
          </w:tcPr>
          <w:p w14:paraId="1EFC1A8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single" w:color="auto" w:sz="4" w:space="0"/>
              <w:left w:val="single" w:color="auto" w:sz="4" w:space="0"/>
              <w:bottom w:val="nil"/>
              <w:right w:val="nil"/>
            </w:tcBorders>
            <w:noWrap w:val="0"/>
            <w:tcMar>
              <w:top w:w="0" w:type="dxa"/>
              <w:left w:w="108" w:type="dxa"/>
              <w:bottom w:w="0" w:type="dxa"/>
              <w:right w:w="108" w:type="dxa"/>
            </w:tcMar>
            <w:vAlign w:val="center"/>
          </w:tcPr>
          <w:p w14:paraId="6A2EEB25">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6D43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5649CF93">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负债</w:t>
            </w:r>
            <w:r>
              <w:rPr>
                <w:rFonts w:hint="eastAsia" w:ascii="宋体" w:hAnsi="宋体" w:cs="宋体"/>
                <w:b w:val="0"/>
                <w:bCs w:val="0"/>
                <w:i w:val="0"/>
                <w:iCs w:val="0"/>
                <w:color w:val="auto"/>
                <w:spacing w:val="0"/>
                <w:w w:val="100"/>
                <w:kern w:val="0"/>
                <w:sz w:val="18"/>
                <w:szCs w:val="18"/>
                <w:u w:val="none"/>
                <w:lang w:val="en-US" w:eastAsia="zh-CN" w:bidi="ar"/>
              </w:rPr>
              <w:t>合</w:t>
            </w:r>
            <w:r>
              <w:rPr>
                <w:rFonts w:hint="eastAsia" w:ascii="宋体" w:hAnsi="宋体" w:eastAsia="宋体" w:cs="宋体"/>
                <w:b w:val="0"/>
                <w:bCs w:val="0"/>
                <w:i w:val="0"/>
                <w:iCs w:val="0"/>
                <w:color w:val="auto"/>
                <w:spacing w:val="0"/>
                <w:w w:val="100"/>
                <w:kern w:val="0"/>
                <w:sz w:val="18"/>
                <w:szCs w:val="18"/>
                <w:u w:val="none"/>
                <w:lang w:val="en-US" w:eastAsia="zh-CN" w:bidi="ar"/>
              </w:rPr>
              <w:t>计</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4F94899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6DD84275">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5D5F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3751C970">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所有者权益合计</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1A1916C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041D6A40">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788A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16A26FAE">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营业收入总额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1C0A3F1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544D40FC">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2414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3B29CCF6">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其中：对外承包工程营业收入</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6CBE36E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50977938">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63846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4E1229F5">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当年利润总额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0350BC7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01FF837F">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7E44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4B4C65A0">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其中：对外承包工程业务利润</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334FB9B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63E1F373">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369A4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568C272E">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境外纳税总额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7E8D9C2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73E36318">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226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475407DE">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对外承包工程新签合同额占比</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5A7F893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3CD1A844">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58801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37CC2C0A">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对外承包工程完成营业额占比</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7EED9E9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1E850829">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3CCD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582BEE0D">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年末员工数量</w:t>
            </w:r>
          </w:p>
        </w:tc>
        <w:tc>
          <w:tcPr>
            <w:tcW w:w="1258"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F8447F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人</w:t>
            </w:r>
          </w:p>
        </w:tc>
        <w:tc>
          <w:tcPr>
            <w:tcW w:w="2900" w:type="dxa"/>
            <w:tcBorders>
              <w:top w:val="nil"/>
              <w:left w:val="single" w:color="auto" w:sz="4" w:space="0"/>
              <w:bottom w:val="single" w:color="auto" w:sz="4" w:space="0"/>
              <w:right w:val="nil"/>
            </w:tcBorders>
            <w:noWrap w:val="0"/>
            <w:tcMar>
              <w:top w:w="0" w:type="dxa"/>
              <w:left w:w="108" w:type="dxa"/>
              <w:bottom w:w="0" w:type="dxa"/>
              <w:right w:w="108" w:type="dxa"/>
            </w:tcMar>
            <w:vAlign w:val="center"/>
          </w:tcPr>
          <w:p w14:paraId="3C66CD14">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11AD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63" w:type="dxa"/>
            <w:gridSpan w:val="3"/>
            <w:tcBorders>
              <w:top w:val="single" w:color="auto" w:sz="4" w:space="0"/>
              <w:left w:val="nil"/>
              <w:bottom w:val="nil"/>
              <w:right w:val="nil"/>
            </w:tcBorders>
            <w:noWrap/>
            <w:tcMar>
              <w:top w:w="0" w:type="dxa"/>
              <w:left w:w="108" w:type="dxa"/>
              <w:bottom w:w="0" w:type="dxa"/>
              <w:right w:w="108" w:type="dxa"/>
            </w:tcMar>
            <w:vAlign w:val="center"/>
          </w:tcPr>
          <w:p w14:paraId="02D7E343">
            <w:pPr>
              <w:keepNext w:val="0"/>
              <w:keepLines w:val="0"/>
              <w:widowControl/>
              <w:suppressLineNumbers w:val="0"/>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tc>
      </w:tr>
      <w:tr w14:paraId="316B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0" w:hRule="atLeast"/>
        </w:trPr>
        <w:tc>
          <w:tcPr>
            <w:tcW w:w="9663" w:type="dxa"/>
            <w:gridSpan w:val="3"/>
            <w:tcBorders>
              <w:top w:val="nil"/>
              <w:left w:val="nil"/>
              <w:bottom w:val="nil"/>
              <w:right w:val="nil"/>
            </w:tcBorders>
            <w:noWrap w:val="0"/>
            <w:tcMar>
              <w:top w:w="0" w:type="dxa"/>
              <w:left w:w="108" w:type="dxa"/>
              <w:bottom w:w="0" w:type="dxa"/>
              <w:right w:w="108" w:type="dxa"/>
            </w:tcMar>
            <w:vAlign w:val="center"/>
          </w:tcPr>
          <w:p w14:paraId="06F55C48">
            <w:pPr>
              <w:keepNext w:val="0"/>
              <w:keepLines w:val="0"/>
              <w:widowControl/>
              <w:suppressLineNumbers w:val="0"/>
              <w:jc w:val="left"/>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说明：1.本表反映报告年度对外承包工程企业经营基本情况。</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2.本表由对外承包工程企业于年后</w:t>
            </w:r>
            <w:r>
              <w:rPr>
                <w:rFonts w:hint="eastAsia" w:ascii="宋体" w:hAnsi="宋体" w:cs="宋体"/>
                <w:i w:val="0"/>
                <w:iCs w:val="0"/>
                <w:color w:val="auto"/>
                <w:spacing w:val="0"/>
                <w:w w:val="100"/>
                <w:kern w:val="0"/>
                <w:sz w:val="18"/>
                <w:szCs w:val="18"/>
                <w:u w:val="none"/>
                <w:lang w:val="en-US" w:eastAsia="zh-CN" w:bidi="ar"/>
              </w:rPr>
              <w:t>5</w:t>
            </w:r>
            <w:r>
              <w:rPr>
                <w:rFonts w:hint="eastAsia" w:ascii="宋体" w:hAnsi="宋体" w:eastAsia="宋体" w:cs="宋体"/>
                <w:i w:val="0"/>
                <w:iCs w:val="0"/>
                <w:color w:val="auto"/>
                <w:spacing w:val="0"/>
                <w:w w:val="100"/>
                <w:kern w:val="0"/>
                <w:sz w:val="18"/>
                <w:szCs w:val="18"/>
                <w:u w:val="none"/>
                <w:lang w:val="en-US" w:eastAsia="zh-CN" w:bidi="ar"/>
              </w:rPr>
              <w:t>月</w:t>
            </w:r>
            <w:r>
              <w:rPr>
                <w:rFonts w:hint="eastAsia" w:ascii="宋体" w:hAnsi="宋体" w:cs="宋体"/>
                <w:i w:val="0"/>
                <w:iCs w:val="0"/>
                <w:color w:val="auto"/>
                <w:spacing w:val="0"/>
                <w:w w:val="100"/>
                <w:kern w:val="0"/>
                <w:sz w:val="18"/>
                <w:szCs w:val="18"/>
                <w:u w:val="none"/>
                <w:lang w:val="en-US" w:eastAsia="zh-CN" w:bidi="ar"/>
              </w:rPr>
              <w:t>31</w:t>
            </w:r>
            <w:r>
              <w:rPr>
                <w:rFonts w:hint="eastAsia" w:ascii="宋体" w:hAnsi="宋体" w:eastAsia="宋体" w:cs="宋体"/>
                <w:i w:val="0"/>
                <w:iCs w:val="0"/>
                <w:color w:val="auto"/>
                <w:spacing w:val="0"/>
                <w:w w:val="100"/>
                <w:kern w:val="0"/>
                <w:sz w:val="18"/>
                <w:szCs w:val="18"/>
                <w:u w:val="none"/>
                <w:lang w:val="en-US" w:eastAsia="zh-CN" w:bidi="ar"/>
              </w:rPr>
              <w:t>日前报当地省级商务主管部门或商务部。</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3.统一社会信用代码：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已经领取了统一社会信用代码的法人单位和产业活动单位必须填写统一社会信用代码。在填写时，要按照《营业执照》（证书）上的统一社会信用代码填写。</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4.企业性质按国家统计局《关于统计上对公有和非公有控股经济的分类办法》进行选择（见附录</w:t>
            </w:r>
            <w:r>
              <w:rPr>
                <w:rFonts w:hint="eastAsia" w:ascii="宋体" w:hAnsi="宋体" w:cs="宋体"/>
                <w:i w:val="0"/>
                <w:iCs w:val="0"/>
                <w:color w:val="auto"/>
                <w:spacing w:val="0"/>
                <w:w w:val="100"/>
                <w:kern w:val="0"/>
                <w:sz w:val="18"/>
                <w:szCs w:val="18"/>
                <w:u w:val="none"/>
                <w:lang w:val="en-US" w:eastAsia="zh-CN" w:bidi="ar"/>
              </w:rPr>
              <w:t>四</w:t>
            </w:r>
            <w:r>
              <w:rPr>
                <w:rFonts w:hint="eastAsia" w:ascii="宋体" w:hAnsi="宋体" w:eastAsia="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5.资产总计、负债合计、所有者权益合计：分别根据填报单位企业年终会计报表“资产负债表”中“资产总计”“负债合计”“所有者权益合计”项目的年末数填列</w:t>
            </w:r>
            <w:r>
              <w:rPr>
                <w:rFonts w:hint="eastAsia" w:ascii="宋体" w:hAnsi="宋体" w:cs="宋体"/>
                <w:i w:val="0"/>
                <w:iCs w:val="0"/>
                <w:color w:val="auto"/>
                <w:spacing w:val="0"/>
                <w:w w:val="100"/>
                <w:kern w:val="0"/>
                <w:sz w:val="18"/>
                <w:szCs w:val="18"/>
                <w:u w:val="none"/>
                <w:lang w:val="en-US" w:eastAsia="zh-CN" w:bidi="ar"/>
              </w:rPr>
              <w:t>（集团公司填报并表数据时注意备注被并表的下属工程企业名称及组织机构代码，下同）</w:t>
            </w:r>
            <w:r>
              <w:rPr>
                <w:rFonts w:hint="eastAsia" w:ascii="宋体" w:hAnsi="宋体" w:eastAsia="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6.营业收入总额、当年利润总额：分别根据填报单位企业年终会计报表“损益表”中“营业收入总额”“当年利润总额”项目的数值填列。</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7.对外承包工程新签合同额占比和对外承包工程完成营业额占比</w:t>
            </w:r>
            <w:r>
              <w:rPr>
                <w:rFonts w:hint="eastAsia" w:ascii="宋体" w:hAnsi="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t>指公司对外承包工程业务在公司境内外工程业务总量中的占比。</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8.境外纳税总额：指填报单位开展对外承包工程业务在境外缴纳的各类税费总和。</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9.年末</w:t>
            </w:r>
            <w:r>
              <w:rPr>
                <w:rFonts w:hint="eastAsia" w:ascii="宋体" w:hAnsi="宋体" w:cs="宋体"/>
                <w:i w:val="0"/>
                <w:iCs w:val="0"/>
                <w:color w:val="auto"/>
                <w:spacing w:val="0"/>
                <w:w w:val="100"/>
                <w:kern w:val="0"/>
                <w:sz w:val="18"/>
                <w:szCs w:val="18"/>
                <w:u w:val="none"/>
                <w:lang w:val="en-US" w:eastAsia="zh-CN" w:bidi="ar"/>
              </w:rPr>
              <w:t>员</w:t>
            </w:r>
            <w:r>
              <w:rPr>
                <w:rFonts w:hint="eastAsia" w:ascii="宋体" w:hAnsi="宋体" w:eastAsia="宋体" w:cs="宋体"/>
                <w:i w:val="0"/>
                <w:iCs w:val="0"/>
                <w:color w:val="auto"/>
                <w:spacing w:val="0"/>
                <w:w w:val="100"/>
                <w:kern w:val="0"/>
                <w:sz w:val="18"/>
                <w:szCs w:val="18"/>
                <w:u w:val="none"/>
                <w:lang w:val="en-US" w:eastAsia="zh-CN" w:bidi="ar"/>
              </w:rPr>
              <w:t>工数量：是指年末</w:t>
            </w:r>
            <w:r>
              <w:rPr>
                <w:rFonts w:hint="eastAsia" w:ascii="宋体" w:hAnsi="宋体" w:cs="宋体"/>
                <w:i w:val="0"/>
                <w:iCs w:val="0"/>
                <w:color w:val="auto"/>
                <w:spacing w:val="0"/>
                <w:w w:val="100"/>
                <w:kern w:val="0"/>
                <w:sz w:val="18"/>
                <w:szCs w:val="18"/>
                <w:u w:val="none"/>
                <w:lang w:val="en-US" w:eastAsia="zh-CN" w:bidi="ar"/>
              </w:rPr>
              <w:t>本</w:t>
            </w:r>
            <w:r>
              <w:rPr>
                <w:rFonts w:hint="eastAsia" w:ascii="宋体" w:hAnsi="宋体" w:eastAsia="宋体" w:cs="宋体"/>
                <w:i w:val="0"/>
                <w:iCs w:val="0"/>
                <w:color w:val="auto"/>
                <w:spacing w:val="0"/>
                <w:w w:val="100"/>
                <w:kern w:val="0"/>
                <w:sz w:val="18"/>
                <w:szCs w:val="18"/>
                <w:u w:val="none"/>
                <w:lang w:val="en-US" w:eastAsia="zh-CN" w:bidi="ar"/>
              </w:rPr>
              <w:t>企业所有登记在册的从业人员</w:t>
            </w:r>
            <w:r>
              <w:rPr>
                <w:rFonts w:hint="eastAsia" w:ascii="宋体" w:hAnsi="宋体" w:cs="宋体"/>
                <w:i w:val="0"/>
                <w:iCs w:val="0"/>
                <w:color w:val="auto"/>
                <w:spacing w:val="0"/>
                <w:w w:val="100"/>
                <w:kern w:val="0"/>
                <w:sz w:val="18"/>
                <w:szCs w:val="18"/>
                <w:u w:val="none"/>
                <w:lang w:val="en-US" w:eastAsia="zh-CN" w:bidi="ar"/>
              </w:rPr>
              <w:t>（含境外）</w:t>
            </w:r>
            <w:r>
              <w:rPr>
                <w:rFonts w:hint="eastAsia" w:ascii="宋体" w:hAnsi="宋体" w:eastAsia="宋体" w:cs="宋体"/>
                <w:i w:val="0"/>
                <w:iCs w:val="0"/>
                <w:color w:val="auto"/>
                <w:spacing w:val="0"/>
                <w:w w:val="100"/>
                <w:kern w:val="0"/>
                <w:sz w:val="18"/>
                <w:szCs w:val="18"/>
                <w:u w:val="none"/>
                <w:lang w:val="en-US" w:eastAsia="zh-CN" w:bidi="ar"/>
              </w:rPr>
              <w:t>数量之和。</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w:t>
            </w:r>
          </w:p>
        </w:tc>
      </w:tr>
    </w:tbl>
    <w:p w14:paraId="24A249A4">
      <w:pPr>
        <w:jc w:val="center"/>
        <w:outlineLvl w:val="1"/>
        <w:rPr>
          <w:rFonts w:hint="eastAsia" w:ascii="宋体" w:hAnsi="宋体" w:eastAsia="宋体"/>
          <w:b w:val="0"/>
          <w:bCs/>
          <w:color w:val="auto"/>
          <w:sz w:val="32"/>
          <w:szCs w:val="32"/>
          <w:lang w:eastAsia="zh-CN"/>
        </w:rPr>
      </w:pPr>
      <w:bookmarkStart w:id="14" w:name="_Toc708694992"/>
      <w:r>
        <w:rPr>
          <w:rFonts w:hint="eastAsia" w:ascii="宋体" w:hAnsi="宋体"/>
          <w:b/>
          <w:color w:val="auto"/>
          <w:sz w:val="32"/>
          <w:szCs w:val="32"/>
        </w:rPr>
        <w:br w:type="page"/>
      </w:r>
      <w:bookmarkStart w:id="15" w:name="_Toc208591219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总包</w:t>
      </w:r>
      <w:r>
        <w:rPr>
          <w:rFonts w:hint="eastAsia" w:ascii="宋体" w:hAnsi="宋体"/>
          <w:b w:val="0"/>
          <w:bCs/>
          <w:color w:val="auto"/>
          <w:sz w:val="32"/>
          <w:szCs w:val="32"/>
        </w:rPr>
        <w:t>项目</w:t>
      </w:r>
      <w:r>
        <w:rPr>
          <w:rFonts w:hint="eastAsia" w:ascii="宋体" w:hAnsi="宋体"/>
          <w:b w:val="0"/>
          <w:bCs/>
          <w:color w:val="auto"/>
          <w:sz w:val="32"/>
          <w:szCs w:val="32"/>
          <w:lang w:eastAsia="zh-CN"/>
        </w:rPr>
        <w:t>基本信息</w:t>
      </w:r>
      <w:bookmarkEnd w:id="14"/>
      <w:bookmarkEnd w:id="15"/>
    </w:p>
    <w:tbl>
      <w:tblPr>
        <w:tblStyle w:val="11"/>
        <w:tblW w:w="9522" w:type="dxa"/>
        <w:tblInd w:w="93" w:type="dxa"/>
        <w:tblLayout w:type="fixed"/>
        <w:tblCellMar>
          <w:top w:w="0" w:type="dxa"/>
          <w:left w:w="108" w:type="dxa"/>
          <w:bottom w:w="0" w:type="dxa"/>
          <w:right w:w="108" w:type="dxa"/>
        </w:tblCellMar>
      </w:tblPr>
      <w:tblGrid>
        <w:gridCol w:w="5840"/>
        <w:gridCol w:w="3682"/>
      </w:tblGrid>
      <w:tr w14:paraId="08D09492">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0347F7C0">
            <w:pPr>
              <w:widowControl/>
              <w:jc w:val="left"/>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266581D8">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1</w:t>
            </w:r>
          </w:p>
        </w:tc>
      </w:tr>
      <w:tr w14:paraId="4372B144">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9EF2BC9">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2B2A16A3">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7F358B75">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5FF7304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7BAAFAA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357C509E">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873ACF1">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6EC964A0">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3677A5AC">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33C82A5">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6BDCA95D">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34D253B5">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7F838910">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7EBF5F32">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月</w:t>
            </w:r>
          </w:p>
        </w:tc>
      </w:tr>
    </w:tbl>
    <w:p w14:paraId="462228DB">
      <w:pPr>
        <w:ind w:right="-180"/>
        <w:jc w:val="center"/>
        <w:rPr>
          <w:rFonts w:ascii="宋体" w:hAnsi="宋体"/>
          <w:bCs/>
          <w:color w:val="auto"/>
          <w:sz w:val="18"/>
          <w:szCs w:val="18"/>
        </w:rPr>
      </w:pPr>
      <w:r>
        <w:rPr>
          <w:rFonts w:hint="eastAsia" w:ascii="宋体" w:hAnsi="宋体"/>
          <w:bCs/>
          <w:color w:val="auto"/>
          <w:sz w:val="18"/>
          <w:szCs w:val="18"/>
          <w:lang w:val="en-US" w:eastAsia="zh-CN"/>
        </w:rPr>
        <w:t xml:space="preserve">20     </w:t>
      </w:r>
      <w:r>
        <w:rPr>
          <w:rFonts w:hint="eastAsia" w:ascii="宋体" w:hAnsi="宋体"/>
          <w:bCs/>
          <w:color w:val="auto"/>
          <w:sz w:val="18"/>
          <w:szCs w:val="18"/>
        </w:rPr>
        <w:t>年         月</w:t>
      </w: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095"/>
        <w:gridCol w:w="645"/>
        <w:gridCol w:w="645"/>
        <w:gridCol w:w="915"/>
        <w:gridCol w:w="975"/>
        <w:gridCol w:w="969"/>
        <w:gridCol w:w="1137"/>
        <w:gridCol w:w="183"/>
        <w:gridCol w:w="1509"/>
      </w:tblGrid>
      <w:tr w14:paraId="6EA5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61" w:type="dxa"/>
            <w:vMerge w:val="restart"/>
            <w:tcBorders>
              <w:top w:val="single" w:color="auto" w:sz="8" w:space="0"/>
              <w:left w:val="nil"/>
              <w:bottom w:val="single" w:color="auto" w:sz="2" w:space="0"/>
              <w:right w:val="single" w:color="auto" w:sz="2" w:space="0"/>
              <w:tl2br w:val="single" w:color="auto" w:sz="2" w:space="0"/>
            </w:tcBorders>
            <w:noWrap w:val="0"/>
            <w:vAlign w:val="top"/>
          </w:tcPr>
          <w:p w14:paraId="6CAD7D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56EC7B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p w14:paraId="65881D0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项目</w:t>
            </w:r>
          </w:p>
        </w:tc>
        <w:tc>
          <w:tcPr>
            <w:tcW w:w="1095" w:type="dxa"/>
            <w:vMerge w:val="restart"/>
            <w:tcBorders>
              <w:top w:val="single" w:color="auto" w:sz="8" w:space="0"/>
              <w:left w:val="single" w:color="auto" w:sz="2" w:space="0"/>
              <w:bottom w:val="single" w:color="auto" w:sz="2" w:space="0"/>
              <w:right w:val="single" w:color="auto" w:sz="2" w:space="0"/>
            </w:tcBorders>
            <w:noWrap w:val="0"/>
            <w:vAlign w:val="center"/>
          </w:tcPr>
          <w:p w14:paraId="34647C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290" w:type="dxa"/>
            <w:gridSpan w:val="2"/>
            <w:vMerge w:val="restart"/>
            <w:tcBorders>
              <w:top w:val="single" w:color="auto" w:sz="8" w:space="0"/>
              <w:left w:val="single" w:color="auto" w:sz="2" w:space="0"/>
              <w:bottom w:val="single" w:color="auto" w:sz="2" w:space="0"/>
              <w:right w:val="single" w:color="auto" w:sz="2" w:space="0"/>
            </w:tcBorders>
            <w:noWrap w:val="0"/>
            <w:vAlign w:val="center"/>
          </w:tcPr>
          <w:p w14:paraId="15CC38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项目实施地点</w:t>
            </w:r>
            <w:r>
              <w:rPr>
                <w:rFonts w:hint="eastAsia" w:ascii="宋体" w:hAnsi="宋体"/>
                <w:bCs/>
                <w:color w:val="auto"/>
                <w:sz w:val="18"/>
                <w:szCs w:val="18"/>
                <w:lang w:eastAsia="zh-CN"/>
              </w:rPr>
              <w:t>（省或州）</w:t>
            </w:r>
          </w:p>
        </w:tc>
        <w:tc>
          <w:tcPr>
            <w:tcW w:w="1890" w:type="dxa"/>
            <w:gridSpan w:val="2"/>
            <w:tcBorders>
              <w:top w:val="single" w:color="auto" w:sz="8" w:space="0"/>
              <w:left w:val="single" w:color="auto" w:sz="2" w:space="0"/>
              <w:bottom w:val="single" w:color="auto" w:sz="2" w:space="0"/>
              <w:right w:val="single" w:color="auto" w:sz="2" w:space="0"/>
            </w:tcBorders>
            <w:noWrap w:val="0"/>
            <w:vAlign w:val="center"/>
          </w:tcPr>
          <w:p w14:paraId="44AA58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项目类别</w:t>
            </w:r>
          </w:p>
        </w:tc>
        <w:tc>
          <w:tcPr>
            <w:tcW w:w="969" w:type="dxa"/>
            <w:vMerge w:val="restart"/>
            <w:tcBorders>
              <w:top w:val="single" w:color="auto" w:sz="8" w:space="0"/>
              <w:left w:val="single" w:color="auto" w:sz="2" w:space="0"/>
              <w:bottom w:val="single" w:color="auto" w:sz="2" w:space="0"/>
              <w:right w:val="single" w:color="auto" w:sz="2" w:space="0"/>
            </w:tcBorders>
            <w:noWrap w:val="0"/>
            <w:vAlign w:val="center"/>
          </w:tcPr>
          <w:p w14:paraId="44B8C60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项目承包方式</w:t>
            </w:r>
          </w:p>
        </w:tc>
        <w:tc>
          <w:tcPr>
            <w:tcW w:w="1320" w:type="dxa"/>
            <w:gridSpan w:val="2"/>
            <w:vMerge w:val="restart"/>
            <w:tcBorders>
              <w:top w:val="single" w:color="auto" w:sz="8" w:space="0"/>
              <w:left w:val="single" w:color="auto" w:sz="2" w:space="0"/>
              <w:bottom w:val="single" w:color="auto" w:sz="2" w:space="0"/>
              <w:right w:val="single" w:color="auto" w:sz="2" w:space="0"/>
            </w:tcBorders>
            <w:noWrap w:val="0"/>
            <w:vAlign w:val="center"/>
          </w:tcPr>
          <w:p w14:paraId="65CC8E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对外签约单位</w:t>
            </w:r>
          </w:p>
        </w:tc>
        <w:tc>
          <w:tcPr>
            <w:tcW w:w="1509" w:type="dxa"/>
            <w:vMerge w:val="restart"/>
            <w:tcBorders>
              <w:top w:val="single" w:color="auto" w:sz="8" w:space="0"/>
              <w:left w:val="single" w:color="auto" w:sz="2" w:space="0"/>
              <w:bottom w:val="single" w:color="auto" w:sz="2" w:space="0"/>
              <w:right w:val="nil"/>
            </w:tcBorders>
            <w:noWrap w:val="0"/>
            <w:vAlign w:val="center"/>
          </w:tcPr>
          <w:p w14:paraId="625A36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对外签约单位是否为境外中资</w:t>
            </w:r>
            <w:r>
              <w:rPr>
                <w:rFonts w:hint="eastAsia" w:ascii="宋体" w:hAnsi="宋体"/>
                <w:bCs/>
                <w:color w:val="auto"/>
                <w:sz w:val="18"/>
                <w:szCs w:val="18"/>
                <w:lang w:val="en-US" w:eastAsia="zh-CN"/>
              </w:rPr>
              <w:t>企业</w:t>
            </w:r>
          </w:p>
        </w:tc>
      </w:tr>
      <w:tr w14:paraId="223A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61" w:type="dxa"/>
            <w:vMerge w:val="continue"/>
            <w:tcBorders>
              <w:top w:val="single" w:color="auto" w:sz="2" w:space="0"/>
              <w:left w:val="nil"/>
              <w:bottom w:val="single" w:color="auto" w:sz="2" w:space="0"/>
              <w:right w:val="single" w:color="auto" w:sz="2" w:space="0"/>
            </w:tcBorders>
            <w:noWrap w:val="0"/>
            <w:vAlign w:val="top"/>
          </w:tcPr>
          <w:p w14:paraId="4EAEEB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095" w:type="dxa"/>
            <w:vMerge w:val="continue"/>
            <w:tcBorders>
              <w:top w:val="single" w:color="auto" w:sz="2" w:space="0"/>
              <w:left w:val="single" w:color="auto" w:sz="2" w:space="0"/>
              <w:bottom w:val="single" w:color="auto" w:sz="2" w:space="0"/>
              <w:right w:val="single" w:color="auto" w:sz="2" w:space="0"/>
            </w:tcBorders>
            <w:noWrap w:val="0"/>
            <w:vAlign w:val="top"/>
          </w:tcPr>
          <w:p w14:paraId="07C422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290" w:type="dxa"/>
            <w:gridSpan w:val="2"/>
            <w:vMerge w:val="continue"/>
            <w:tcBorders>
              <w:top w:val="single" w:color="auto" w:sz="2" w:space="0"/>
              <w:left w:val="single" w:color="auto" w:sz="2" w:space="0"/>
              <w:bottom w:val="single" w:color="auto" w:sz="2" w:space="0"/>
              <w:right w:val="single" w:color="auto" w:sz="2" w:space="0"/>
            </w:tcBorders>
            <w:noWrap w:val="0"/>
            <w:vAlign w:val="top"/>
          </w:tcPr>
          <w:p w14:paraId="0EA6EA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915" w:type="dxa"/>
            <w:tcBorders>
              <w:top w:val="single" w:color="auto" w:sz="2" w:space="0"/>
              <w:left w:val="single" w:color="auto" w:sz="2" w:space="0"/>
              <w:bottom w:val="single" w:color="auto" w:sz="2" w:space="0"/>
              <w:right w:val="single" w:color="auto" w:sz="2" w:space="0"/>
            </w:tcBorders>
            <w:noWrap w:val="0"/>
            <w:vAlign w:val="center"/>
          </w:tcPr>
          <w:p w14:paraId="1A24CE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大类</w:t>
            </w:r>
          </w:p>
        </w:tc>
        <w:tc>
          <w:tcPr>
            <w:tcW w:w="975" w:type="dxa"/>
            <w:tcBorders>
              <w:top w:val="single" w:color="auto" w:sz="2" w:space="0"/>
              <w:left w:val="single" w:color="auto" w:sz="2" w:space="0"/>
              <w:bottom w:val="single" w:color="auto" w:sz="2" w:space="0"/>
              <w:right w:val="single" w:color="auto" w:sz="2" w:space="0"/>
            </w:tcBorders>
            <w:noWrap w:val="0"/>
            <w:vAlign w:val="center"/>
          </w:tcPr>
          <w:p w14:paraId="75E222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小类</w:t>
            </w:r>
          </w:p>
        </w:tc>
        <w:tc>
          <w:tcPr>
            <w:tcW w:w="969" w:type="dxa"/>
            <w:vMerge w:val="continue"/>
            <w:tcBorders>
              <w:top w:val="single" w:color="auto" w:sz="2" w:space="0"/>
              <w:left w:val="single" w:color="auto" w:sz="2" w:space="0"/>
              <w:bottom w:val="single" w:color="auto" w:sz="2" w:space="0"/>
              <w:right w:val="single" w:color="auto" w:sz="2" w:space="0"/>
            </w:tcBorders>
            <w:noWrap w:val="0"/>
            <w:vAlign w:val="top"/>
          </w:tcPr>
          <w:p w14:paraId="14450C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20" w:type="dxa"/>
            <w:gridSpan w:val="2"/>
            <w:vMerge w:val="continue"/>
            <w:tcBorders>
              <w:top w:val="single" w:color="auto" w:sz="2" w:space="0"/>
              <w:left w:val="single" w:color="auto" w:sz="2" w:space="0"/>
              <w:bottom w:val="single" w:color="auto" w:sz="2" w:space="0"/>
              <w:right w:val="single" w:color="auto" w:sz="2" w:space="0"/>
            </w:tcBorders>
            <w:noWrap w:val="0"/>
            <w:vAlign w:val="top"/>
          </w:tcPr>
          <w:p w14:paraId="71193C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509" w:type="dxa"/>
            <w:vMerge w:val="continue"/>
            <w:tcBorders>
              <w:top w:val="single" w:color="auto" w:sz="2" w:space="0"/>
              <w:left w:val="single" w:color="auto" w:sz="2" w:space="0"/>
              <w:bottom w:val="single" w:color="auto" w:sz="2" w:space="0"/>
              <w:right w:val="nil"/>
            </w:tcBorders>
            <w:noWrap w:val="0"/>
            <w:vAlign w:val="top"/>
          </w:tcPr>
          <w:p w14:paraId="1F202EA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r>
      <w:tr w14:paraId="5007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single" w:color="auto" w:sz="2" w:space="0"/>
              <w:right w:val="single" w:color="auto" w:sz="2" w:space="0"/>
            </w:tcBorders>
            <w:noWrap w:val="0"/>
            <w:vAlign w:val="top"/>
          </w:tcPr>
          <w:p w14:paraId="09A526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1095" w:type="dxa"/>
            <w:tcBorders>
              <w:top w:val="single" w:color="auto" w:sz="2" w:space="0"/>
              <w:left w:val="single" w:color="auto" w:sz="2" w:space="0"/>
              <w:bottom w:val="single" w:color="auto" w:sz="2" w:space="0"/>
              <w:right w:val="single" w:color="auto" w:sz="2" w:space="0"/>
            </w:tcBorders>
            <w:noWrap w:val="0"/>
            <w:vAlign w:val="top"/>
          </w:tcPr>
          <w:p w14:paraId="185250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290" w:type="dxa"/>
            <w:gridSpan w:val="2"/>
            <w:tcBorders>
              <w:top w:val="single" w:color="auto" w:sz="2" w:space="0"/>
              <w:left w:val="single" w:color="auto" w:sz="2" w:space="0"/>
              <w:bottom w:val="single" w:color="auto" w:sz="2" w:space="0"/>
              <w:right w:val="single" w:color="auto" w:sz="2" w:space="0"/>
            </w:tcBorders>
            <w:noWrap w:val="0"/>
            <w:vAlign w:val="top"/>
          </w:tcPr>
          <w:p w14:paraId="70A6B6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丙</w:t>
            </w:r>
          </w:p>
        </w:tc>
        <w:tc>
          <w:tcPr>
            <w:tcW w:w="915" w:type="dxa"/>
            <w:tcBorders>
              <w:top w:val="single" w:color="auto" w:sz="2" w:space="0"/>
              <w:left w:val="single" w:color="auto" w:sz="2" w:space="0"/>
              <w:bottom w:val="single" w:color="auto" w:sz="2" w:space="0"/>
              <w:right w:val="single" w:color="auto" w:sz="2" w:space="0"/>
            </w:tcBorders>
            <w:noWrap w:val="0"/>
            <w:vAlign w:val="top"/>
          </w:tcPr>
          <w:p w14:paraId="47EF86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丁</w:t>
            </w:r>
          </w:p>
        </w:tc>
        <w:tc>
          <w:tcPr>
            <w:tcW w:w="975" w:type="dxa"/>
            <w:tcBorders>
              <w:top w:val="single" w:color="auto" w:sz="2" w:space="0"/>
              <w:left w:val="single" w:color="auto" w:sz="2" w:space="0"/>
              <w:bottom w:val="single" w:color="auto" w:sz="2" w:space="0"/>
              <w:right w:val="single" w:color="auto" w:sz="2" w:space="0"/>
            </w:tcBorders>
            <w:noWrap w:val="0"/>
            <w:vAlign w:val="top"/>
          </w:tcPr>
          <w:p w14:paraId="3E71E7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戊</w:t>
            </w:r>
          </w:p>
        </w:tc>
        <w:tc>
          <w:tcPr>
            <w:tcW w:w="969" w:type="dxa"/>
            <w:tcBorders>
              <w:top w:val="single" w:color="auto" w:sz="2" w:space="0"/>
              <w:left w:val="single" w:color="auto" w:sz="2" w:space="0"/>
              <w:bottom w:val="single" w:color="auto" w:sz="2" w:space="0"/>
              <w:right w:val="single" w:color="auto" w:sz="2" w:space="0"/>
            </w:tcBorders>
            <w:noWrap w:val="0"/>
            <w:vAlign w:val="top"/>
          </w:tcPr>
          <w:p w14:paraId="3AB9A4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己</w:t>
            </w:r>
          </w:p>
        </w:tc>
        <w:tc>
          <w:tcPr>
            <w:tcW w:w="1320" w:type="dxa"/>
            <w:gridSpan w:val="2"/>
            <w:tcBorders>
              <w:top w:val="single" w:color="auto" w:sz="2" w:space="0"/>
              <w:left w:val="single" w:color="auto" w:sz="2" w:space="0"/>
              <w:bottom w:val="single" w:color="auto" w:sz="2" w:space="0"/>
              <w:right w:val="single" w:color="auto" w:sz="2" w:space="0"/>
            </w:tcBorders>
            <w:noWrap w:val="0"/>
            <w:vAlign w:val="top"/>
          </w:tcPr>
          <w:p w14:paraId="2ADF4F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庚</w:t>
            </w:r>
          </w:p>
        </w:tc>
        <w:tc>
          <w:tcPr>
            <w:tcW w:w="1509" w:type="dxa"/>
            <w:tcBorders>
              <w:top w:val="single" w:color="auto" w:sz="2" w:space="0"/>
              <w:left w:val="single" w:color="auto" w:sz="2" w:space="0"/>
              <w:bottom w:val="single" w:color="auto" w:sz="2" w:space="0"/>
              <w:right w:val="nil"/>
            </w:tcBorders>
            <w:noWrap w:val="0"/>
            <w:vAlign w:val="top"/>
          </w:tcPr>
          <w:p w14:paraId="685094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辛</w:t>
            </w:r>
          </w:p>
        </w:tc>
      </w:tr>
      <w:tr w14:paraId="6F8C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nil"/>
              <w:right w:val="single" w:color="auto" w:sz="2" w:space="0"/>
            </w:tcBorders>
            <w:noWrap w:val="0"/>
            <w:vAlign w:val="top"/>
          </w:tcPr>
          <w:p w14:paraId="3C68AE1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合计</w:t>
            </w:r>
          </w:p>
        </w:tc>
        <w:tc>
          <w:tcPr>
            <w:tcW w:w="1095" w:type="dxa"/>
            <w:tcBorders>
              <w:top w:val="single" w:color="auto" w:sz="2" w:space="0"/>
              <w:left w:val="single" w:color="auto" w:sz="2" w:space="0"/>
              <w:bottom w:val="nil"/>
              <w:right w:val="nil"/>
            </w:tcBorders>
            <w:noWrap w:val="0"/>
            <w:vAlign w:val="top"/>
          </w:tcPr>
          <w:p w14:paraId="74BC286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single" w:color="auto" w:sz="2" w:space="0"/>
              <w:left w:val="nil"/>
              <w:bottom w:val="nil"/>
              <w:right w:val="nil"/>
            </w:tcBorders>
            <w:noWrap w:val="0"/>
            <w:vAlign w:val="top"/>
          </w:tcPr>
          <w:p w14:paraId="1FA4268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single" w:color="auto" w:sz="2" w:space="0"/>
              <w:left w:val="nil"/>
              <w:bottom w:val="nil"/>
              <w:right w:val="nil"/>
            </w:tcBorders>
            <w:noWrap w:val="0"/>
            <w:vAlign w:val="top"/>
          </w:tcPr>
          <w:p w14:paraId="74F08E2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single" w:color="auto" w:sz="2" w:space="0"/>
              <w:left w:val="nil"/>
              <w:bottom w:val="nil"/>
              <w:right w:val="nil"/>
            </w:tcBorders>
            <w:noWrap w:val="0"/>
            <w:vAlign w:val="top"/>
          </w:tcPr>
          <w:p w14:paraId="6CC3FF7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single" w:color="auto" w:sz="2" w:space="0"/>
              <w:left w:val="nil"/>
              <w:bottom w:val="nil"/>
              <w:right w:val="nil"/>
            </w:tcBorders>
            <w:noWrap w:val="0"/>
            <w:vAlign w:val="top"/>
          </w:tcPr>
          <w:p w14:paraId="0B6B8A2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single" w:color="auto" w:sz="2" w:space="0"/>
              <w:left w:val="nil"/>
              <w:bottom w:val="nil"/>
              <w:right w:val="nil"/>
            </w:tcBorders>
            <w:noWrap w:val="0"/>
            <w:vAlign w:val="top"/>
          </w:tcPr>
          <w:p w14:paraId="0AB6031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single" w:color="auto" w:sz="2" w:space="0"/>
              <w:left w:val="nil"/>
              <w:bottom w:val="nil"/>
              <w:right w:val="nil"/>
            </w:tcBorders>
            <w:noWrap w:val="0"/>
            <w:vAlign w:val="top"/>
          </w:tcPr>
          <w:p w14:paraId="4410629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64CC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nil"/>
              <w:right w:val="single" w:color="auto" w:sz="2" w:space="0"/>
            </w:tcBorders>
            <w:noWrap w:val="0"/>
            <w:vAlign w:val="top"/>
          </w:tcPr>
          <w:p w14:paraId="19883AB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nil"/>
              <w:right w:val="nil"/>
            </w:tcBorders>
            <w:noWrap w:val="0"/>
            <w:vAlign w:val="top"/>
          </w:tcPr>
          <w:p w14:paraId="26A22A5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nil"/>
              <w:left w:val="nil"/>
              <w:bottom w:val="nil"/>
              <w:right w:val="nil"/>
            </w:tcBorders>
            <w:noWrap w:val="0"/>
            <w:vAlign w:val="top"/>
          </w:tcPr>
          <w:p w14:paraId="314A378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nil"/>
              <w:right w:val="nil"/>
            </w:tcBorders>
            <w:noWrap w:val="0"/>
            <w:vAlign w:val="top"/>
          </w:tcPr>
          <w:p w14:paraId="183D682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nil"/>
              <w:right w:val="nil"/>
            </w:tcBorders>
            <w:noWrap w:val="0"/>
            <w:vAlign w:val="top"/>
          </w:tcPr>
          <w:p w14:paraId="01CB6A2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nil"/>
              <w:left w:val="nil"/>
              <w:bottom w:val="nil"/>
              <w:right w:val="nil"/>
            </w:tcBorders>
            <w:noWrap w:val="0"/>
            <w:vAlign w:val="top"/>
          </w:tcPr>
          <w:p w14:paraId="0B90927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nil"/>
              <w:left w:val="nil"/>
              <w:bottom w:val="nil"/>
              <w:right w:val="nil"/>
            </w:tcBorders>
            <w:noWrap w:val="0"/>
            <w:vAlign w:val="top"/>
          </w:tcPr>
          <w:p w14:paraId="0EF8B2D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nil"/>
              <w:left w:val="nil"/>
              <w:bottom w:val="nil"/>
              <w:right w:val="nil"/>
            </w:tcBorders>
            <w:noWrap w:val="0"/>
            <w:vAlign w:val="top"/>
          </w:tcPr>
          <w:p w14:paraId="663EA0F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59A4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single" w:color="auto" w:sz="8" w:space="0"/>
              <w:right w:val="single" w:color="auto" w:sz="2" w:space="0"/>
            </w:tcBorders>
            <w:noWrap w:val="0"/>
            <w:vAlign w:val="top"/>
          </w:tcPr>
          <w:p w14:paraId="45AEABE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single" w:color="auto" w:sz="8" w:space="0"/>
              <w:right w:val="nil"/>
            </w:tcBorders>
            <w:noWrap w:val="0"/>
            <w:vAlign w:val="top"/>
          </w:tcPr>
          <w:p w14:paraId="4F932B8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nil"/>
              <w:left w:val="nil"/>
              <w:bottom w:val="single" w:color="auto" w:sz="8" w:space="0"/>
              <w:right w:val="nil"/>
            </w:tcBorders>
            <w:noWrap w:val="0"/>
            <w:vAlign w:val="top"/>
          </w:tcPr>
          <w:p w14:paraId="31B16D3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single" w:color="auto" w:sz="8" w:space="0"/>
              <w:right w:val="nil"/>
            </w:tcBorders>
            <w:noWrap w:val="0"/>
            <w:vAlign w:val="top"/>
          </w:tcPr>
          <w:p w14:paraId="385F4C1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single" w:color="auto" w:sz="8" w:space="0"/>
              <w:right w:val="nil"/>
            </w:tcBorders>
            <w:noWrap w:val="0"/>
            <w:vAlign w:val="top"/>
          </w:tcPr>
          <w:p w14:paraId="1ADA938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nil"/>
              <w:left w:val="nil"/>
              <w:bottom w:val="single" w:color="auto" w:sz="8" w:space="0"/>
              <w:right w:val="nil"/>
            </w:tcBorders>
            <w:noWrap w:val="0"/>
            <w:vAlign w:val="top"/>
          </w:tcPr>
          <w:p w14:paraId="01BF084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nil"/>
              <w:left w:val="nil"/>
              <w:bottom w:val="single" w:color="auto" w:sz="8" w:space="0"/>
              <w:right w:val="nil"/>
            </w:tcBorders>
            <w:noWrap w:val="0"/>
            <w:vAlign w:val="top"/>
          </w:tcPr>
          <w:p w14:paraId="1780796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nil"/>
              <w:left w:val="nil"/>
              <w:bottom w:val="single" w:color="auto" w:sz="8" w:space="0"/>
              <w:right w:val="nil"/>
            </w:tcBorders>
            <w:noWrap w:val="0"/>
            <w:vAlign w:val="top"/>
          </w:tcPr>
          <w:p w14:paraId="3E56B92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1364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634" w:type="dxa"/>
            <w:gridSpan w:val="10"/>
            <w:tcBorders>
              <w:top w:val="single" w:color="auto" w:sz="8" w:space="0"/>
              <w:left w:val="nil"/>
              <w:bottom w:val="single" w:color="auto" w:sz="8" w:space="0"/>
              <w:right w:val="nil"/>
            </w:tcBorders>
            <w:noWrap w:val="0"/>
            <w:vAlign w:val="center"/>
          </w:tcPr>
          <w:p w14:paraId="257FF259">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hint="default" w:ascii="宋体" w:hAnsi="宋体"/>
                <w:bCs/>
                <w:color w:val="auto"/>
                <w:sz w:val="18"/>
                <w:szCs w:val="18"/>
                <w:lang w:val="en" w:eastAsia="zh-CN"/>
              </w:rPr>
            </w:pPr>
            <w:r>
              <w:rPr>
                <w:rFonts w:hint="eastAsia" w:ascii="宋体" w:hAnsi="宋体"/>
                <w:bCs/>
                <w:color w:val="auto"/>
                <w:sz w:val="18"/>
                <w:szCs w:val="18"/>
                <w:lang w:val="en" w:eastAsia="zh-CN"/>
              </w:rPr>
              <w:t>（续表）</w:t>
            </w:r>
          </w:p>
        </w:tc>
      </w:tr>
      <w:tr w14:paraId="6884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61" w:type="dxa"/>
            <w:tcBorders>
              <w:top w:val="single" w:color="auto" w:sz="8" w:space="0"/>
              <w:left w:val="nil"/>
              <w:bottom w:val="single" w:color="auto" w:sz="2" w:space="0"/>
              <w:right w:val="single" w:color="auto" w:sz="2" w:space="0"/>
            </w:tcBorders>
            <w:noWrap w:val="0"/>
            <w:vAlign w:val="center"/>
          </w:tcPr>
          <w:p w14:paraId="700EC1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业主</w:t>
            </w:r>
            <w:r>
              <w:rPr>
                <w:rFonts w:hint="eastAsia" w:ascii="宋体" w:hAnsi="宋体"/>
                <w:bCs/>
                <w:color w:val="auto"/>
                <w:sz w:val="18"/>
                <w:szCs w:val="18"/>
                <w:lang w:eastAsia="zh-CN"/>
              </w:rPr>
              <w:t>名称</w:t>
            </w:r>
          </w:p>
        </w:tc>
        <w:tc>
          <w:tcPr>
            <w:tcW w:w="1740" w:type="dxa"/>
            <w:gridSpan w:val="2"/>
            <w:tcBorders>
              <w:top w:val="single" w:color="auto" w:sz="8" w:space="0"/>
              <w:left w:val="single" w:color="auto" w:sz="2" w:space="0"/>
              <w:bottom w:val="single" w:color="auto" w:sz="2" w:space="0"/>
              <w:right w:val="single" w:color="auto" w:sz="2" w:space="0"/>
            </w:tcBorders>
            <w:noWrap w:val="0"/>
            <w:vAlign w:val="center"/>
          </w:tcPr>
          <w:p w14:paraId="3F60F1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项目资金来源</w:t>
            </w:r>
          </w:p>
        </w:tc>
        <w:tc>
          <w:tcPr>
            <w:tcW w:w="2535" w:type="dxa"/>
            <w:gridSpan w:val="3"/>
            <w:tcBorders>
              <w:top w:val="single" w:color="auto" w:sz="8" w:space="0"/>
              <w:left w:val="single" w:color="auto" w:sz="2" w:space="0"/>
              <w:bottom w:val="single" w:color="auto" w:sz="2" w:space="0"/>
              <w:right w:val="single" w:color="auto" w:sz="2" w:space="0"/>
            </w:tcBorders>
            <w:noWrap w:val="0"/>
            <w:vAlign w:val="center"/>
          </w:tcPr>
          <w:p w14:paraId="6F32F4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bCs/>
                <w:color w:val="auto"/>
                <w:sz w:val="18"/>
                <w:szCs w:val="18"/>
                <w:lang w:eastAsia="zh-CN"/>
              </w:rPr>
              <w:t>项目备案编号</w:t>
            </w:r>
          </w:p>
        </w:tc>
        <w:tc>
          <w:tcPr>
            <w:tcW w:w="2106" w:type="dxa"/>
            <w:gridSpan w:val="2"/>
            <w:tcBorders>
              <w:top w:val="single" w:color="auto" w:sz="8" w:space="0"/>
              <w:left w:val="single" w:color="auto" w:sz="2" w:space="0"/>
              <w:bottom w:val="single" w:color="auto" w:sz="2" w:space="0"/>
              <w:right w:val="single" w:color="auto" w:sz="2" w:space="0"/>
            </w:tcBorders>
            <w:noWrap w:val="0"/>
            <w:vAlign w:val="center"/>
          </w:tcPr>
          <w:p w14:paraId="38DD18F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lang w:eastAsia="zh-CN"/>
              </w:rPr>
              <w:t>项目生效日期</w:t>
            </w:r>
          </w:p>
        </w:tc>
        <w:tc>
          <w:tcPr>
            <w:tcW w:w="1692" w:type="dxa"/>
            <w:gridSpan w:val="2"/>
            <w:tcBorders>
              <w:top w:val="single" w:color="auto" w:sz="8" w:space="0"/>
              <w:left w:val="single" w:color="auto" w:sz="2" w:space="0"/>
              <w:bottom w:val="single" w:color="auto" w:sz="2" w:space="0"/>
              <w:right w:val="nil"/>
            </w:tcBorders>
            <w:noWrap w:val="0"/>
            <w:vAlign w:val="center"/>
          </w:tcPr>
          <w:p w14:paraId="2C9A21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shd w:val="clear" w:color="auto" w:fill="auto"/>
                <w:lang w:eastAsia="zh-CN"/>
              </w:rPr>
              <w:t>项目合同工期</w:t>
            </w:r>
          </w:p>
        </w:tc>
      </w:tr>
      <w:tr w14:paraId="61B9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single" w:color="auto" w:sz="2" w:space="0"/>
              <w:right w:val="single" w:color="auto" w:sz="2" w:space="0"/>
            </w:tcBorders>
            <w:noWrap w:val="0"/>
            <w:vAlign w:val="top"/>
          </w:tcPr>
          <w:p w14:paraId="09E510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壬</w:t>
            </w:r>
          </w:p>
        </w:tc>
        <w:tc>
          <w:tcPr>
            <w:tcW w:w="1740" w:type="dxa"/>
            <w:gridSpan w:val="2"/>
            <w:tcBorders>
              <w:top w:val="single" w:color="auto" w:sz="2" w:space="0"/>
              <w:left w:val="single" w:color="auto" w:sz="2" w:space="0"/>
              <w:bottom w:val="single" w:color="auto" w:sz="2" w:space="0"/>
              <w:right w:val="single" w:color="auto" w:sz="2" w:space="0"/>
            </w:tcBorders>
            <w:noWrap w:val="0"/>
            <w:vAlign w:val="top"/>
          </w:tcPr>
          <w:p w14:paraId="1511BA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eastAsia="宋体" w:cs="Times New Roman"/>
                <w:bCs/>
                <w:color w:val="auto"/>
                <w:kern w:val="2"/>
                <w:sz w:val="18"/>
                <w:szCs w:val="18"/>
                <w:lang w:val="en-US" w:eastAsia="zh-CN" w:bidi="ar-SA"/>
              </w:rPr>
            </w:pPr>
            <w:r>
              <w:rPr>
                <w:color w:val="auto"/>
              </w:rPr>
              <w:t>癸</w:t>
            </w:r>
          </w:p>
        </w:tc>
        <w:tc>
          <w:tcPr>
            <w:tcW w:w="2535" w:type="dxa"/>
            <w:gridSpan w:val="3"/>
            <w:tcBorders>
              <w:top w:val="single" w:color="auto" w:sz="2" w:space="0"/>
              <w:left w:val="single" w:color="auto" w:sz="2" w:space="0"/>
              <w:bottom w:val="single" w:color="auto" w:sz="2" w:space="0"/>
              <w:right w:val="single" w:color="auto" w:sz="2" w:space="0"/>
            </w:tcBorders>
            <w:noWrap w:val="0"/>
            <w:vAlign w:val="top"/>
          </w:tcPr>
          <w:p w14:paraId="4105F54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highlight w:val="none"/>
                <w:lang w:val="en-US" w:eastAsia="zh-CN" w:bidi="ar-SA"/>
              </w:rPr>
            </w:pPr>
            <w:r>
              <w:rPr>
                <w:rFonts w:hint="eastAsia" w:ascii="宋体" w:hAnsi="宋体"/>
                <w:bCs/>
                <w:color w:val="auto"/>
                <w:sz w:val="18"/>
                <w:szCs w:val="18"/>
                <w:highlight w:val="none"/>
                <w:lang w:val="en-US" w:eastAsia="zh-CN"/>
              </w:rPr>
              <w:t>子</w:t>
            </w:r>
          </w:p>
        </w:tc>
        <w:tc>
          <w:tcPr>
            <w:tcW w:w="2106" w:type="dxa"/>
            <w:gridSpan w:val="2"/>
            <w:tcBorders>
              <w:top w:val="single" w:color="auto" w:sz="2" w:space="0"/>
              <w:left w:val="single" w:color="auto" w:sz="2" w:space="0"/>
              <w:bottom w:val="single" w:color="auto" w:sz="2" w:space="0"/>
              <w:right w:val="single" w:color="auto" w:sz="2" w:space="0"/>
            </w:tcBorders>
            <w:noWrap w:val="0"/>
            <w:vAlign w:val="top"/>
          </w:tcPr>
          <w:p w14:paraId="5D27F9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bCs/>
                <w:color w:val="auto"/>
                <w:sz w:val="18"/>
                <w:szCs w:val="18"/>
                <w:highlight w:val="none"/>
                <w:lang w:val="en-US" w:eastAsia="zh-CN"/>
              </w:rPr>
            </w:pPr>
            <w:r>
              <w:rPr>
                <w:rFonts w:hint="eastAsia" w:ascii="宋体" w:hAnsi="宋体"/>
                <w:bCs/>
                <w:color w:val="auto"/>
                <w:sz w:val="18"/>
                <w:szCs w:val="18"/>
                <w:highlight w:val="none"/>
                <w:lang w:val="en-US" w:eastAsia="zh-CN"/>
              </w:rPr>
              <w:t>丑</w:t>
            </w:r>
          </w:p>
        </w:tc>
        <w:tc>
          <w:tcPr>
            <w:tcW w:w="1692" w:type="dxa"/>
            <w:gridSpan w:val="2"/>
            <w:tcBorders>
              <w:top w:val="single" w:color="auto" w:sz="2" w:space="0"/>
              <w:left w:val="single" w:color="auto" w:sz="2" w:space="0"/>
              <w:bottom w:val="single" w:color="auto" w:sz="2" w:space="0"/>
              <w:right w:val="nil"/>
            </w:tcBorders>
            <w:noWrap w:val="0"/>
            <w:vAlign w:val="top"/>
          </w:tcPr>
          <w:p w14:paraId="286DDC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highlight w:val="none"/>
              </w:rPr>
            </w:pPr>
            <w:r>
              <w:rPr>
                <w:rFonts w:hint="eastAsia" w:ascii="宋体" w:hAnsi="宋体"/>
                <w:bCs/>
                <w:color w:val="auto"/>
                <w:sz w:val="18"/>
                <w:szCs w:val="18"/>
                <w:highlight w:val="none"/>
                <w:lang w:val="en-US" w:eastAsia="zh-CN"/>
              </w:rPr>
              <w:t>1</w:t>
            </w:r>
          </w:p>
        </w:tc>
      </w:tr>
      <w:tr w14:paraId="6B06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nil"/>
              <w:right w:val="nil"/>
            </w:tcBorders>
            <w:noWrap w:val="0"/>
            <w:vAlign w:val="top"/>
          </w:tcPr>
          <w:p w14:paraId="5FF6EC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eastAsia="宋体" w:cs="Times New Roman"/>
                <w:bCs/>
                <w:color w:val="auto"/>
                <w:kern w:val="2"/>
                <w:sz w:val="18"/>
                <w:szCs w:val="18"/>
                <w:lang w:val="en-US" w:eastAsia="zh-CN" w:bidi="ar-SA"/>
              </w:rPr>
            </w:pPr>
          </w:p>
        </w:tc>
        <w:tc>
          <w:tcPr>
            <w:tcW w:w="1740" w:type="dxa"/>
            <w:gridSpan w:val="2"/>
            <w:tcBorders>
              <w:top w:val="single" w:color="auto" w:sz="2" w:space="0"/>
              <w:left w:val="nil"/>
              <w:bottom w:val="nil"/>
              <w:right w:val="nil"/>
            </w:tcBorders>
            <w:noWrap w:val="0"/>
            <w:vAlign w:val="top"/>
          </w:tcPr>
          <w:p w14:paraId="7E2D3A7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single" w:color="auto" w:sz="2" w:space="0"/>
              <w:left w:val="nil"/>
              <w:bottom w:val="nil"/>
              <w:right w:val="nil"/>
            </w:tcBorders>
            <w:noWrap w:val="0"/>
            <w:vAlign w:val="top"/>
          </w:tcPr>
          <w:p w14:paraId="0ABF770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single" w:color="auto" w:sz="2" w:space="0"/>
              <w:left w:val="nil"/>
              <w:bottom w:val="nil"/>
              <w:right w:val="nil"/>
            </w:tcBorders>
            <w:noWrap w:val="0"/>
            <w:vAlign w:val="top"/>
          </w:tcPr>
          <w:p w14:paraId="1B0859D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single" w:color="auto" w:sz="2" w:space="0"/>
              <w:left w:val="nil"/>
              <w:bottom w:val="nil"/>
              <w:right w:val="nil"/>
            </w:tcBorders>
            <w:noWrap w:val="0"/>
            <w:vAlign w:val="top"/>
          </w:tcPr>
          <w:p w14:paraId="3EDC1CC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r w14:paraId="2461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nil"/>
              <w:right w:val="nil"/>
            </w:tcBorders>
            <w:noWrap w:val="0"/>
            <w:vAlign w:val="top"/>
          </w:tcPr>
          <w:p w14:paraId="0FE91D6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740" w:type="dxa"/>
            <w:gridSpan w:val="2"/>
            <w:tcBorders>
              <w:top w:val="nil"/>
              <w:left w:val="nil"/>
              <w:bottom w:val="nil"/>
              <w:right w:val="nil"/>
            </w:tcBorders>
            <w:noWrap w:val="0"/>
            <w:vAlign w:val="top"/>
          </w:tcPr>
          <w:p w14:paraId="54A904F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nil"/>
              <w:left w:val="nil"/>
              <w:bottom w:val="nil"/>
              <w:right w:val="nil"/>
            </w:tcBorders>
            <w:noWrap w:val="0"/>
            <w:vAlign w:val="top"/>
          </w:tcPr>
          <w:p w14:paraId="5770AB1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nil"/>
              <w:left w:val="nil"/>
              <w:bottom w:val="nil"/>
              <w:right w:val="nil"/>
            </w:tcBorders>
            <w:noWrap w:val="0"/>
            <w:vAlign w:val="top"/>
          </w:tcPr>
          <w:p w14:paraId="2A859DC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nil"/>
              <w:left w:val="nil"/>
              <w:bottom w:val="nil"/>
              <w:right w:val="nil"/>
            </w:tcBorders>
            <w:noWrap w:val="0"/>
            <w:vAlign w:val="top"/>
          </w:tcPr>
          <w:p w14:paraId="2B206E7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r w14:paraId="7C75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single" w:color="auto" w:sz="8" w:space="0"/>
              <w:right w:val="nil"/>
            </w:tcBorders>
            <w:noWrap w:val="0"/>
            <w:vAlign w:val="top"/>
          </w:tcPr>
          <w:p w14:paraId="7262E10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740" w:type="dxa"/>
            <w:gridSpan w:val="2"/>
            <w:tcBorders>
              <w:top w:val="nil"/>
              <w:left w:val="nil"/>
              <w:bottom w:val="single" w:color="auto" w:sz="8" w:space="0"/>
              <w:right w:val="nil"/>
            </w:tcBorders>
            <w:noWrap w:val="0"/>
            <w:vAlign w:val="top"/>
          </w:tcPr>
          <w:p w14:paraId="40FBA81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nil"/>
              <w:left w:val="nil"/>
              <w:bottom w:val="single" w:color="auto" w:sz="8" w:space="0"/>
              <w:right w:val="nil"/>
            </w:tcBorders>
            <w:noWrap w:val="0"/>
            <w:vAlign w:val="top"/>
          </w:tcPr>
          <w:p w14:paraId="1039EF0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nil"/>
              <w:left w:val="nil"/>
              <w:bottom w:val="single" w:color="auto" w:sz="8" w:space="0"/>
              <w:right w:val="nil"/>
            </w:tcBorders>
            <w:noWrap w:val="0"/>
            <w:vAlign w:val="top"/>
          </w:tcPr>
          <w:p w14:paraId="705EB5A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nil"/>
              <w:left w:val="nil"/>
              <w:bottom w:val="single" w:color="auto" w:sz="8" w:space="0"/>
              <w:right w:val="nil"/>
            </w:tcBorders>
            <w:noWrap w:val="0"/>
            <w:vAlign w:val="top"/>
          </w:tcPr>
          <w:p w14:paraId="5E2CEA4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bl>
    <w:p w14:paraId="20662AE4">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26D841B2">
      <w:pPr>
        <w:rPr>
          <w:rFonts w:hint="eastAsia" w:ascii="宋体" w:hAnsi="宋体" w:eastAsia="宋体"/>
          <w:bCs/>
          <w:color w:val="auto"/>
          <w:sz w:val="18"/>
          <w:szCs w:val="18"/>
          <w:lang w:eastAsia="zh-CN"/>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份</w:t>
      </w:r>
      <w:r>
        <w:rPr>
          <w:rFonts w:hint="eastAsia" w:ascii="宋体" w:hAnsi="宋体"/>
          <w:bCs/>
          <w:color w:val="auto"/>
          <w:sz w:val="18"/>
          <w:szCs w:val="18"/>
        </w:rPr>
        <w:t>企业对外承包工程</w:t>
      </w:r>
      <w:r>
        <w:rPr>
          <w:rFonts w:hint="eastAsia" w:ascii="宋体" w:hAnsi="宋体"/>
          <w:bCs/>
          <w:color w:val="auto"/>
          <w:sz w:val="18"/>
          <w:szCs w:val="18"/>
          <w:lang w:eastAsia="zh-CN"/>
        </w:rPr>
        <w:t>总包</w:t>
      </w:r>
      <w:r>
        <w:rPr>
          <w:rFonts w:hint="eastAsia" w:ascii="宋体" w:hAnsi="宋体"/>
          <w:bCs/>
          <w:color w:val="auto"/>
          <w:sz w:val="18"/>
          <w:szCs w:val="18"/>
        </w:rPr>
        <w:t>项目的基本情况。</w:t>
      </w:r>
      <w:r>
        <w:rPr>
          <w:rFonts w:hint="eastAsia" w:ascii="宋体" w:hAnsi="宋体"/>
          <w:bCs/>
          <w:color w:val="auto"/>
          <w:sz w:val="18"/>
          <w:szCs w:val="18"/>
          <w:lang w:eastAsia="zh-CN"/>
        </w:rPr>
        <w:t>总包项目是指以中国企业或境外中资企业名义与业主（含中国企业在国境外设立的企业）或外方总包商签订的境外工程项目，与外交部、商务部签订的驻外使领馆建设项目、对外援助工程项目视同总包项目（与之对应在外国驻华使领馆开展的工程项目，暂不纳入统计）。</w:t>
      </w:r>
    </w:p>
    <w:p w14:paraId="0143CF39">
      <w:pPr>
        <w:rPr>
          <w:rFonts w:hint="eastAsia" w:ascii="宋体" w:hAnsi="宋体" w:eastAsia="宋体"/>
          <w:bCs/>
          <w:color w:val="auto"/>
          <w:sz w:val="18"/>
          <w:szCs w:val="18"/>
          <w:lang w:eastAsia="zh-CN"/>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对外承包工程总包项目签约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境外中资企业承揽的承包工程项目由境内投资企业填报。</w:t>
      </w:r>
    </w:p>
    <w:p w14:paraId="4443F908">
      <w:pPr>
        <w:ind w:firstLine="540" w:firstLineChars="300"/>
        <w:rPr>
          <w:rFonts w:hint="eastAsia" w:ascii="宋体" w:hAnsi="宋体" w:eastAsia="宋体"/>
          <w:bCs/>
          <w:color w:val="auto"/>
          <w:sz w:val="18"/>
          <w:szCs w:val="18"/>
          <w:highlight w:val="none"/>
          <w:lang w:eastAsia="zh-CN"/>
        </w:rPr>
      </w:pPr>
      <w:r>
        <w:rPr>
          <w:rFonts w:hint="eastAsia" w:ascii="宋体" w:hAnsi="宋体"/>
          <w:bCs/>
          <w:color w:val="auto"/>
          <w:sz w:val="18"/>
          <w:szCs w:val="18"/>
          <w:highlight w:val="none"/>
        </w:rPr>
        <w:t>3</w:t>
      </w:r>
      <w:r>
        <w:rPr>
          <w:rFonts w:hint="eastAsia" w:ascii="宋体" w:hAnsi="宋体"/>
          <w:bCs/>
          <w:color w:val="auto"/>
          <w:sz w:val="18"/>
          <w:szCs w:val="18"/>
          <w:highlight w:val="none"/>
          <w:lang w:val="en-US" w:eastAsia="zh-CN"/>
        </w:rPr>
        <w:t>.</w:t>
      </w:r>
      <w:r>
        <w:rPr>
          <w:rFonts w:hint="eastAsia" w:ascii="宋体" w:hAnsi="宋体"/>
          <w:bCs/>
          <w:color w:val="auto"/>
          <w:sz w:val="18"/>
          <w:szCs w:val="18"/>
          <w:highlight w:val="none"/>
        </w:rPr>
        <w:t>“项目类别”项目大小分类见附录（一）。</w:t>
      </w:r>
      <w:r>
        <w:rPr>
          <w:rFonts w:hint="eastAsia" w:ascii="宋体" w:hAnsi="宋体"/>
          <w:bCs/>
          <w:color w:val="auto"/>
          <w:sz w:val="18"/>
          <w:szCs w:val="18"/>
          <w:highlight w:val="none"/>
          <w:lang w:eastAsia="zh-CN"/>
        </w:rPr>
        <w:t>新签项目行业类别为“交通运输建设项目”中的公路、铁路项目，需在系统中填报“线路总里程”指标，计量单位为公里；项目类别为“电力工程建设项目”需在系统中填报“装机容量”指标，计量单位为万千瓦。新签项目行业类别涉及节能环保清洁类的项目需在统计系统中</w:t>
      </w:r>
      <w:r>
        <w:rPr>
          <w:rFonts w:hint="eastAsia" w:ascii="宋体" w:hAnsi="宋体"/>
          <w:bCs/>
          <w:color w:val="auto"/>
          <w:sz w:val="18"/>
          <w:szCs w:val="18"/>
          <w:lang w:eastAsia="zh-CN"/>
        </w:rPr>
        <w:t>选择项目所属细类</w:t>
      </w:r>
      <w:r>
        <w:rPr>
          <w:rFonts w:hint="eastAsia" w:ascii="宋体" w:hAnsi="宋体"/>
          <w:bCs/>
          <w:color w:val="auto"/>
          <w:sz w:val="18"/>
          <w:szCs w:val="18"/>
          <w:highlight w:val="none"/>
        </w:rPr>
        <w:t>见附录（</w:t>
      </w:r>
      <w:r>
        <w:rPr>
          <w:rFonts w:hint="eastAsia" w:ascii="宋体" w:hAnsi="宋体"/>
          <w:bCs/>
          <w:color w:val="auto"/>
          <w:sz w:val="18"/>
          <w:szCs w:val="18"/>
          <w:highlight w:val="none"/>
          <w:lang w:eastAsia="zh-CN"/>
        </w:rPr>
        <w:t>三</w:t>
      </w:r>
      <w:r>
        <w:rPr>
          <w:rFonts w:hint="eastAsia" w:ascii="宋体" w:hAnsi="宋体"/>
          <w:bCs/>
          <w:color w:val="auto"/>
          <w:sz w:val="18"/>
          <w:szCs w:val="18"/>
          <w:highlight w:val="none"/>
        </w:rPr>
        <w:t>）</w:t>
      </w:r>
      <w:r>
        <w:rPr>
          <w:rFonts w:hint="eastAsia" w:ascii="宋体" w:hAnsi="宋体"/>
          <w:bCs/>
          <w:color w:val="auto"/>
          <w:sz w:val="18"/>
          <w:szCs w:val="18"/>
          <w:highlight w:val="none"/>
          <w:lang w:eastAsia="zh-CN"/>
        </w:rPr>
        <w:t>。</w:t>
      </w:r>
    </w:p>
    <w:p w14:paraId="3753B10C">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4</w:t>
      </w:r>
      <w:r>
        <w:rPr>
          <w:rFonts w:hint="eastAsia" w:ascii="宋体" w:hAnsi="宋体"/>
          <w:bCs/>
          <w:color w:val="auto"/>
          <w:sz w:val="18"/>
          <w:szCs w:val="18"/>
          <w:lang w:val="en-US" w:eastAsia="zh-CN"/>
        </w:rPr>
        <w:t>.</w:t>
      </w:r>
      <w:r>
        <w:rPr>
          <w:rFonts w:hint="eastAsia" w:ascii="宋体" w:hAnsi="宋体"/>
          <w:bCs/>
          <w:color w:val="auto"/>
          <w:sz w:val="18"/>
          <w:szCs w:val="18"/>
        </w:rPr>
        <w:t>项目承包方式：包括</w:t>
      </w:r>
      <w:r>
        <w:rPr>
          <w:rFonts w:hint="eastAsia" w:ascii="宋体" w:hAnsi="宋体"/>
          <w:bCs/>
          <w:color w:val="auto"/>
          <w:sz w:val="18"/>
          <w:szCs w:val="18"/>
          <w:lang w:eastAsia="zh-CN"/>
        </w:rPr>
        <w:t>（</w:t>
      </w:r>
      <w:r>
        <w:rPr>
          <w:rFonts w:hint="eastAsia" w:ascii="宋体" w:hAnsi="宋体"/>
          <w:bCs/>
          <w:color w:val="auto"/>
          <w:sz w:val="18"/>
          <w:szCs w:val="18"/>
          <w:lang w:val="en-US" w:eastAsia="zh-CN"/>
        </w:rPr>
        <w:t>1</w:t>
      </w:r>
      <w:r>
        <w:rPr>
          <w:rFonts w:hint="eastAsia" w:ascii="宋体" w:hAnsi="宋体"/>
          <w:bCs/>
          <w:color w:val="auto"/>
          <w:sz w:val="18"/>
          <w:szCs w:val="18"/>
          <w:lang w:eastAsia="zh-CN"/>
        </w:rPr>
        <w:t>）传统承包方式，包括施工或总承包（含设计</w:t>
      </w:r>
      <w:r>
        <w:rPr>
          <w:rFonts w:hint="eastAsia" w:ascii="宋体" w:hAnsi="宋体"/>
          <w:bCs/>
          <w:color w:val="auto"/>
          <w:sz w:val="18"/>
          <w:szCs w:val="18"/>
          <w:lang w:val="en-US" w:eastAsia="zh-CN"/>
        </w:rPr>
        <w:t>-建造、设计-采购-施工</w:t>
      </w:r>
      <w:r>
        <w:rPr>
          <w:rFonts w:hint="eastAsia" w:ascii="宋体" w:hAnsi="宋体"/>
          <w:bCs/>
          <w:color w:val="auto"/>
          <w:sz w:val="18"/>
          <w:szCs w:val="18"/>
          <w:lang w:eastAsia="zh-CN"/>
        </w:rPr>
        <w:t>）；（</w:t>
      </w:r>
      <w:r>
        <w:rPr>
          <w:rFonts w:hint="eastAsia" w:ascii="宋体" w:hAnsi="宋体"/>
          <w:bCs/>
          <w:color w:val="auto"/>
          <w:sz w:val="18"/>
          <w:szCs w:val="18"/>
          <w:lang w:val="en-US" w:eastAsia="zh-CN"/>
        </w:rPr>
        <w:t>2</w:t>
      </w:r>
      <w:r>
        <w:rPr>
          <w:rFonts w:hint="eastAsia" w:ascii="宋体" w:hAnsi="宋体"/>
          <w:bCs/>
          <w:color w:val="auto"/>
          <w:sz w:val="18"/>
          <w:szCs w:val="18"/>
          <w:lang w:eastAsia="zh-CN"/>
        </w:rPr>
        <w:t>）融资模式，指承包商提供融资服务的承包、总承包（如设计</w:t>
      </w:r>
      <w:r>
        <w:rPr>
          <w:rFonts w:hint="eastAsia" w:ascii="宋体" w:hAnsi="宋体"/>
          <w:bCs/>
          <w:color w:val="auto"/>
          <w:sz w:val="18"/>
          <w:szCs w:val="18"/>
          <w:lang w:val="en-US" w:eastAsia="zh-CN"/>
        </w:rPr>
        <w:t>-采购-施工+融资</w:t>
      </w:r>
      <w:r>
        <w:rPr>
          <w:rFonts w:hint="eastAsia" w:ascii="宋体" w:hAnsi="宋体"/>
          <w:bCs/>
          <w:color w:val="auto"/>
          <w:sz w:val="18"/>
          <w:szCs w:val="18"/>
          <w:lang w:eastAsia="zh-CN"/>
        </w:rPr>
        <w:t>）；（</w:t>
      </w:r>
      <w:r>
        <w:rPr>
          <w:rFonts w:hint="eastAsia" w:ascii="宋体" w:hAnsi="宋体"/>
          <w:bCs/>
          <w:color w:val="auto"/>
          <w:sz w:val="18"/>
          <w:szCs w:val="18"/>
          <w:lang w:val="en-US" w:eastAsia="zh-CN"/>
        </w:rPr>
        <w:t>3</w:t>
      </w:r>
      <w:r>
        <w:rPr>
          <w:rFonts w:hint="eastAsia" w:ascii="宋体" w:hAnsi="宋体"/>
          <w:bCs/>
          <w:color w:val="auto"/>
          <w:sz w:val="18"/>
          <w:szCs w:val="18"/>
          <w:lang w:eastAsia="zh-CN"/>
        </w:rPr>
        <w:t>）投资模式，包括特许经营、公私合营、中方小比例投资类；（</w:t>
      </w:r>
      <w:r>
        <w:rPr>
          <w:rFonts w:hint="eastAsia" w:ascii="宋体" w:hAnsi="宋体"/>
          <w:bCs/>
          <w:color w:val="auto"/>
          <w:sz w:val="18"/>
          <w:szCs w:val="18"/>
          <w:lang w:val="en-US" w:eastAsia="zh-CN"/>
        </w:rPr>
        <w:t>4</w:t>
      </w:r>
      <w:r>
        <w:rPr>
          <w:rFonts w:hint="eastAsia" w:ascii="宋体" w:hAnsi="宋体"/>
          <w:bCs/>
          <w:color w:val="auto"/>
          <w:sz w:val="18"/>
          <w:szCs w:val="18"/>
          <w:lang w:eastAsia="zh-CN"/>
        </w:rPr>
        <w:t>）其他，除上述三种模式以外的其他方式。</w:t>
      </w:r>
    </w:p>
    <w:p w14:paraId="42971FC4">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5.</w:t>
      </w:r>
      <w:r>
        <w:rPr>
          <w:rFonts w:hint="eastAsia" w:ascii="宋体" w:hAnsi="宋体"/>
          <w:bCs/>
          <w:color w:val="auto"/>
          <w:sz w:val="18"/>
          <w:szCs w:val="18"/>
          <w:lang w:eastAsia="zh-CN"/>
        </w:rPr>
        <w:t>对外签约单位：指与国（境）外业主签订合同的企业。</w:t>
      </w:r>
    </w:p>
    <w:p w14:paraId="50CD8A3D">
      <w:pPr>
        <w:ind w:firstLine="540" w:firstLineChars="300"/>
        <w:rPr>
          <w:rFonts w:hint="eastAsia" w:ascii="宋体" w:hAnsi="宋体"/>
          <w:bCs/>
          <w:color w:val="auto"/>
          <w:sz w:val="18"/>
          <w:szCs w:val="18"/>
        </w:rPr>
      </w:pPr>
      <w:r>
        <w:rPr>
          <w:rFonts w:hint="eastAsia" w:ascii="宋体" w:hAnsi="宋体"/>
          <w:bCs/>
          <w:color w:val="auto"/>
          <w:sz w:val="18"/>
          <w:szCs w:val="18"/>
          <w:lang w:val="en-US" w:eastAsia="zh-CN"/>
        </w:rPr>
        <w:t>6.</w:t>
      </w:r>
      <w:r>
        <w:rPr>
          <w:rFonts w:hint="eastAsia" w:ascii="宋体" w:hAnsi="宋体"/>
          <w:bCs/>
          <w:color w:val="auto"/>
          <w:sz w:val="18"/>
          <w:szCs w:val="18"/>
        </w:rPr>
        <w:t>项目资金来源：</w:t>
      </w:r>
      <w:r>
        <w:rPr>
          <w:rFonts w:hint="eastAsia" w:ascii="宋体" w:hAnsi="宋体"/>
          <w:bCs/>
          <w:color w:val="auto"/>
          <w:sz w:val="18"/>
          <w:szCs w:val="18"/>
          <w:lang w:eastAsia="zh-CN"/>
        </w:rPr>
        <w:t>指企业承揽工程项目的工程款的主要来源，包括：业主自筹、项目所在国政府资金、国际金融机构拨款、援外优惠贷款、优惠出口买方信贷、国内商业性质出口买方信贷、国内出口卖方信贷、中资企业参与投资、以资源换项目、其他等。</w:t>
      </w:r>
    </w:p>
    <w:p w14:paraId="7B99D210">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7.项目生效日期：指工程承包合同约定的生效条件成就，合同生效发生效力的日期。</w:t>
      </w:r>
    </w:p>
    <w:p w14:paraId="25545E68">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highlight w:val="none"/>
          <w:lang w:val="en-US" w:eastAsia="zh-CN"/>
        </w:rPr>
        <w:t>8.</w:t>
      </w:r>
      <w:r>
        <w:rPr>
          <w:rFonts w:hint="eastAsia" w:ascii="宋体" w:hAnsi="宋体"/>
          <w:bCs/>
          <w:color w:val="auto"/>
          <w:sz w:val="18"/>
          <w:szCs w:val="18"/>
          <w:lang w:val="en-US" w:eastAsia="zh-CN"/>
        </w:rPr>
        <w:t>项目合同工期：根据对外承包工程项目合同规定的工期折合月数填报。</w:t>
      </w:r>
    </w:p>
    <w:p w14:paraId="60A8011B">
      <w:pPr>
        <w:keepNext w:val="0"/>
        <w:keepLines w:val="0"/>
        <w:widowControl/>
        <w:suppressLineNumbers w:val="0"/>
        <w:ind w:firstLine="540" w:firstLineChars="300"/>
        <w:jc w:val="left"/>
        <w:rPr>
          <w:rFonts w:ascii="宋体" w:hAnsi="宋体"/>
          <w:bCs/>
          <w:color w:val="auto"/>
          <w:sz w:val="18"/>
          <w:szCs w:val="18"/>
          <w:highlight w:val="none"/>
        </w:rPr>
      </w:pPr>
      <w:r>
        <w:rPr>
          <w:rFonts w:hint="eastAsia" w:ascii="宋体" w:hAnsi="宋体"/>
          <w:bCs/>
          <w:color w:val="auto"/>
          <w:sz w:val="18"/>
          <w:szCs w:val="18"/>
          <w:highlight w:val="none"/>
          <w:lang w:val="en-US" w:eastAsia="zh-CN"/>
        </w:rPr>
        <w:t>9.项目备案编号：从企业依据</w:t>
      </w:r>
      <w:r>
        <w:rPr>
          <w:rFonts w:ascii="宋体" w:hAnsi="宋体" w:eastAsia="宋体" w:cs="宋体"/>
          <w:color w:val="auto"/>
          <w:kern w:val="0"/>
          <w:sz w:val="18"/>
          <w:szCs w:val="18"/>
          <w:highlight w:val="none"/>
          <w:lang w:val="en-US" w:eastAsia="zh-CN" w:bidi="ar"/>
        </w:rPr>
        <w:t>《对外承包工程项目备案和立项管理办法》</w:t>
      </w:r>
      <w:r>
        <w:rPr>
          <w:rFonts w:hint="eastAsia" w:ascii="宋体" w:hAnsi="宋体" w:eastAsia="宋体" w:cs="宋体"/>
          <w:color w:val="auto"/>
          <w:kern w:val="0"/>
          <w:sz w:val="18"/>
          <w:szCs w:val="18"/>
          <w:highlight w:val="none"/>
          <w:lang w:val="en-US" w:eastAsia="zh-CN" w:bidi="ar"/>
        </w:rPr>
        <w:t>获取</w:t>
      </w:r>
      <w:r>
        <w:rPr>
          <w:rFonts w:hint="eastAsia" w:ascii="宋体" w:hAnsi="宋体" w:cs="宋体"/>
          <w:color w:val="auto"/>
          <w:kern w:val="0"/>
          <w:sz w:val="18"/>
          <w:szCs w:val="18"/>
          <w:highlight w:val="none"/>
          <w:lang w:val="en-US" w:eastAsia="zh-CN" w:bidi="ar"/>
        </w:rPr>
        <w:t>的</w:t>
      </w:r>
      <w:r>
        <w:rPr>
          <w:rFonts w:ascii="宋体" w:hAnsi="宋体" w:eastAsia="宋体" w:cs="宋体"/>
          <w:color w:val="auto"/>
          <w:kern w:val="0"/>
          <w:sz w:val="18"/>
          <w:szCs w:val="18"/>
          <w:highlight w:val="none"/>
          <w:lang w:val="en-US" w:eastAsia="zh-CN" w:bidi="ar"/>
        </w:rPr>
        <w:t>《对外承包工程项目备案回执》</w:t>
      </w:r>
      <w:r>
        <w:rPr>
          <w:rFonts w:hint="eastAsia" w:ascii="宋体" w:hAnsi="宋体" w:eastAsia="宋体" w:cs="宋体"/>
          <w:color w:val="auto"/>
          <w:kern w:val="0"/>
          <w:sz w:val="18"/>
          <w:szCs w:val="18"/>
          <w:highlight w:val="none"/>
          <w:lang w:val="en-US" w:eastAsia="zh-CN" w:bidi="ar"/>
        </w:rPr>
        <w:t>中</w:t>
      </w:r>
      <w:r>
        <w:rPr>
          <w:rFonts w:hint="eastAsia" w:ascii="宋体" w:hAnsi="宋体" w:cs="宋体"/>
          <w:color w:val="auto"/>
          <w:kern w:val="0"/>
          <w:sz w:val="18"/>
          <w:szCs w:val="18"/>
          <w:highlight w:val="none"/>
          <w:lang w:val="en-US" w:eastAsia="zh-CN" w:bidi="ar"/>
        </w:rPr>
        <w:t>提取</w:t>
      </w:r>
      <w:r>
        <w:rPr>
          <w:rFonts w:hint="eastAsia" w:ascii="宋体" w:hAnsi="宋体" w:eastAsia="宋体" w:cs="宋体"/>
          <w:color w:val="auto"/>
          <w:kern w:val="0"/>
          <w:sz w:val="18"/>
          <w:szCs w:val="18"/>
          <w:highlight w:val="none"/>
          <w:lang w:val="en-US" w:eastAsia="zh-CN" w:bidi="ar"/>
        </w:rPr>
        <w:t>。境外中资企业签订的对外承包工程项目</w:t>
      </w:r>
      <w:r>
        <w:rPr>
          <w:rFonts w:hint="eastAsia" w:ascii="宋体" w:hAnsi="宋体" w:cs="宋体"/>
          <w:color w:val="auto"/>
          <w:kern w:val="0"/>
          <w:sz w:val="18"/>
          <w:szCs w:val="18"/>
          <w:highlight w:val="none"/>
          <w:lang w:val="en-US" w:eastAsia="zh-CN" w:bidi="ar"/>
        </w:rPr>
        <w:t>，及</w:t>
      </w:r>
      <w:r>
        <w:rPr>
          <w:rFonts w:hint="eastAsia" w:ascii="宋体" w:hAnsi="宋体"/>
          <w:bCs/>
          <w:color w:val="auto"/>
          <w:sz w:val="18"/>
          <w:szCs w:val="18"/>
          <w:lang w:eastAsia="zh-CN"/>
        </w:rPr>
        <w:t>与外交部、商务部签订的驻外使领馆建设项目、对外援助工程项目</w:t>
      </w:r>
      <w:r>
        <w:rPr>
          <w:rFonts w:hint="eastAsia" w:ascii="宋体" w:hAnsi="宋体" w:eastAsia="宋体" w:cs="宋体"/>
          <w:color w:val="auto"/>
          <w:kern w:val="0"/>
          <w:sz w:val="18"/>
          <w:szCs w:val="18"/>
          <w:highlight w:val="none"/>
          <w:lang w:val="en-US" w:eastAsia="zh-CN" w:bidi="ar"/>
        </w:rPr>
        <w:t>不用填报。</w:t>
      </w:r>
    </w:p>
    <w:p w14:paraId="528A7074">
      <w:pPr>
        <w:jc w:val="center"/>
        <w:outlineLvl w:val="1"/>
        <w:rPr>
          <w:rFonts w:hint="eastAsia" w:ascii="宋体" w:hAnsi="宋体" w:eastAsia="宋体"/>
          <w:b w:val="0"/>
          <w:bCs/>
          <w:color w:val="auto"/>
          <w:sz w:val="32"/>
          <w:szCs w:val="32"/>
          <w:lang w:eastAsia="zh-CN"/>
        </w:rPr>
      </w:pPr>
      <w:bookmarkStart w:id="16" w:name="_Toc1669801224"/>
      <w:bookmarkStart w:id="17" w:name="_Toc5199115"/>
      <w:r>
        <w:rPr>
          <w:rFonts w:hint="eastAsia" w:ascii="宋体" w:hAnsi="宋体"/>
          <w:b w:val="0"/>
          <w:bCs/>
          <w:color w:val="auto"/>
          <w:sz w:val="32"/>
          <w:szCs w:val="32"/>
        </w:rPr>
        <w:t>对外承包工程</w:t>
      </w:r>
      <w:r>
        <w:rPr>
          <w:rFonts w:hint="eastAsia" w:ascii="宋体" w:hAnsi="宋体"/>
          <w:b w:val="0"/>
          <w:bCs/>
          <w:color w:val="auto"/>
          <w:sz w:val="32"/>
          <w:szCs w:val="32"/>
          <w:lang w:eastAsia="zh-CN"/>
        </w:rPr>
        <w:t>分包</w:t>
      </w:r>
      <w:r>
        <w:rPr>
          <w:rFonts w:hint="eastAsia" w:ascii="宋体" w:hAnsi="宋体"/>
          <w:b w:val="0"/>
          <w:bCs/>
          <w:color w:val="auto"/>
          <w:sz w:val="32"/>
          <w:szCs w:val="32"/>
        </w:rPr>
        <w:t>项目</w:t>
      </w:r>
      <w:r>
        <w:rPr>
          <w:rFonts w:hint="eastAsia" w:ascii="宋体" w:hAnsi="宋体"/>
          <w:b w:val="0"/>
          <w:bCs/>
          <w:color w:val="auto"/>
          <w:sz w:val="32"/>
          <w:szCs w:val="32"/>
          <w:lang w:eastAsia="zh-CN"/>
        </w:rPr>
        <w:t>基本信息</w:t>
      </w:r>
      <w:bookmarkEnd w:id="16"/>
      <w:bookmarkEnd w:id="17"/>
    </w:p>
    <w:p w14:paraId="22359736">
      <w:pPr>
        <w:ind w:right="720" w:firstLine="5850" w:firstLineChars="3250"/>
        <w:rPr>
          <w:rFonts w:ascii="宋体" w:hAnsi="宋体"/>
          <w:bCs/>
          <w:color w:val="auto"/>
          <w:sz w:val="18"/>
          <w:szCs w:val="18"/>
        </w:rPr>
      </w:pPr>
    </w:p>
    <w:tbl>
      <w:tblPr>
        <w:tblStyle w:val="11"/>
        <w:tblW w:w="9522" w:type="dxa"/>
        <w:jc w:val="center"/>
        <w:tblLayout w:type="fixed"/>
        <w:tblCellMar>
          <w:top w:w="0" w:type="dxa"/>
          <w:left w:w="108" w:type="dxa"/>
          <w:bottom w:w="0" w:type="dxa"/>
          <w:right w:w="108" w:type="dxa"/>
        </w:tblCellMar>
      </w:tblPr>
      <w:tblGrid>
        <w:gridCol w:w="5840"/>
        <w:gridCol w:w="3682"/>
      </w:tblGrid>
      <w:tr w14:paraId="62F296F8">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710F6E50">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78811AA2">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2</w:t>
            </w:r>
          </w:p>
        </w:tc>
      </w:tr>
      <w:tr w14:paraId="4203F983">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40046195">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6272F255">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0E25D556">
        <w:tblPrEx>
          <w:tblCellMar>
            <w:top w:w="0" w:type="dxa"/>
            <w:left w:w="108" w:type="dxa"/>
            <w:bottom w:w="0" w:type="dxa"/>
            <w:right w:w="108" w:type="dxa"/>
          </w:tblCellMar>
        </w:tblPrEx>
        <w:trPr>
          <w:trHeight w:val="90" w:hRule="atLeast"/>
          <w:jc w:val="center"/>
        </w:trPr>
        <w:tc>
          <w:tcPr>
            <w:tcW w:w="5840" w:type="dxa"/>
            <w:tcBorders>
              <w:top w:val="nil"/>
              <w:left w:val="nil"/>
              <w:bottom w:val="nil"/>
              <w:right w:val="nil"/>
            </w:tcBorders>
            <w:noWrap w:val="0"/>
            <w:vAlign w:val="bottom"/>
          </w:tcPr>
          <w:p w14:paraId="357AFAED">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04A11446">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76405A4A">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2DE8EC2A">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1B86FE90">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79E3933E">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075481A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71A5CFE6">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718351A3">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179EB0E8">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2CE1B28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月</w:t>
            </w:r>
          </w:p>
        </w:tc>
      </w:tr>
    </w:tbl>
    <w:p w14:paraId="6F5ABE2C">
      <w:pPr>
        <w:ind w:right="-180"/>
        <w:jc w:val="center"/>
        <w:rPr>
          <w:rFonts w:ascii="宋体" w:hAnsi="宋体"/>
          <w:bCs/>
          <w:color w:val="auto"/>
          <w:sz w:val="18"/>
          <w:szCs w:val="18"/>
        </w:rPr>
      </w:pPr>
      <w:r>
        <w:rPr>
          <w:rFonts w:hint="eastAsia" w:ascii="宋体" w:hAnsi="宋体"/>
          <w:bCs/>
          <w:color w:val="auto"/>
          <w:sz w:val="18"/>
          <w:szCs w:val="18"/>
          <w:lang w:val="en-US" w:eastAsia="zh-CN"/>
        </w:rPr>
        <w:t xml:space="preserve">20    </w:t>
      </w:r>
      <w:r>
        <w:rPr>
          <w:rFonts w:hint="eastAsia" w:ascii="宋体" w:hAnsi="宋体"/>
          <w:bCs/>
          <w:color w:val="auto"/>
          <w:sz w:val="18"/>
          <w:szCs w:val="18"/>
        </w:rPr>
        <w:t>年         月</w:t>
      </w:r>
    </w:p>
    <w:tbl>
      <w:tblPr>
        <w:tblStyle w:val="11"/>
        <w:tblW w:w="963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1"/>
        <w:gridCol w:w="1095"/>
        <w:gridCol w:w="1290"/>
        <w:gridCol w:w="915"/>
        <w:gridCol w:w="975"/>
        <w:gridCol w:w="1140"/>
        <w:gridCol w:w="1320"/>
        <w:gridCol w:w="1335"/>
      </w:tblGrid>
      <w:tr w14:paraId="441699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7" w:hRule="atLeast"/>
          <w:jc w:val="center"/>
        </w:trPr>
        <w:tc>
          <w:tcPr>
            <w:tcW w:w="1561" w:type="dxa"/>
            <w:vMerge w:val="restart"/>
            <w:tcBorders>
              <w:tl2br w:val="single" w:color="auto" w:sz="2" w:space="0"/>
            </w:tcBorders>
            <w:noWrap w:val="0"/>
            <w:vAlign w:val="top"/>
          </w:tcPr>
          <w:p w14:paraId="482861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0F7A29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p w14:paraId="5EA0BCE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项目</w:t>
            </w:r>
          </w:p>
        </w:tc>
        <w:tc>
          <w:tcPr>
            <w:tcW w:w="1095" w:type="dxa"/>
            <w:vMerge w:val="restart"/>
            <w:tcBorders>
              <w:tl2br w:val="nil"/>
              <w:tr2bl w:val="nil"/>
            </w:tcBorders>
            <w:noWrap w:val="0"/>
            <w:vAlign w:val="center"/>
          </w:tcPr>
          <w:p w14:paraId="7E504B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290" w:type="dxa"/>
            <w:vMerge w:val="restart"/>
            <w:tcBorders>
              <w:tl2br w:val="nil"/>
              <w:tr2bl w:val="nil"/>
            </w:tcBorders>
            <w:noWrap w:val="0"/>
            <w:vAlign w:val="center"/>
          </w:tcPr>
          <w:p w14:paraId="752F63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项目实施地点</w:t>
            </w:r>
            <w:r>
              <w:rPr>
                <w:rFonts w:hint="eastAsia" w:ascii="宋体" w:hAnsi="宋体"/>
                <w:bCs/>
                <w:color w:val="auto"/>
                <w:sz w:val="18"/>
                <w:szCs w:val="18"/>
                <w:lang w:eastAsia="zh-CN"/>
              </w:rPr>
              <w:t>（省或州）</w:t>
            </w:r>
          </w:p>
        </w:tc>
        <w:tc>
          <w:tcPr>
            <w:tcW w:w="1890" w:type="dxa"/>
            <w:gridSpan w:val="2"/>
            <w:tcBorders>
              <w:tl2br w:val="nil"/>
              <w:tr2bl w:val="nil"/>
            </w:tcBorders>
            <w:noWrap w:val="0"/>
            <w:vAlign w:val="center"/>
          </w:tcPr>
          <w:p w14:paraId="43B756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项目类别</w:t>
            </w:r>
          </w:p>
        </w:tc>
        <w:tc>
          <w:tcPr>
            <w:tcW w:w="1140" w:type="dxa"/>
            <w:vMerge w:val="restart"/>
            <w:tcBorders>
              <w:tl2br w:val="nil"/>
              <w:tr2bl w:val="nil"/>
            </w:tcBorders>
            <w:noWrap w:val="0"/>
            <w:vAlign w:val="center"/>
          </w:tcPr>
          <w:p w14:paraId="70349A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分包项目获取方式</w:t>
            </w:r>
          </w:p>
        </w:tc>
        <w:tc>
          <w:tcPr>
            <w:tcW w:w="1320" w:type="dxa"/>
            <w:vMerge w:val="restart"/>
            <w:tcBorders>
              <w:tl2br w:val="nil"/>
              <w:tr2bl w:val="nil"/>
            </w:tcBorders>
            <w:noWrap w:val="0"/>
            <w:vAlign w:val="center"/>
          </w:tcPr>
          <w:p w14:paraId="5BB748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分包项目合同的中方总包企业名称</w:t>
            </w:r>
          </w:p>
        </w:tc>
        <w:tc>
          <w:tcPr>
            <w:tcW w:w="1335" w:type="dxa"/>
            <w:vMerge w:val="restart"/>
            <w:tcBorders>
              <w:tl2br w:val="nil"/>
              <w:tr2bl w:val="nil"/>
            </w:tcBorders>
            <w:noWrap w:val="0"/>
            <w:vAlign w:val="center"/>
          </w:tcPr>
          <w:p w14:paraId="29A453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项目合同工期</w:t>
            </w:r>
          </w:p>
        </w:tc>
      </w:tr>
      <w:tr w14:paraId="1DAD18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79" w:hRule="atLeast"/>
          <w:jc w:val="center"/>
        </w:trPr>
        <w:tc>
          <w:tcPr>
            <w:tcW w:w="1561" w:type="dxa"/>
            <w:vMerge w:val="continue"/>
            <w:tcBorders>
              <w:tl2br w:val="nil"/>
              <w:tr2bl w:val="nil"/>
            </w:tcBorders>
            <w:noWrap w:val="0"/>
            <w:vAlign w:val="top"/>
          </w:tcPr>
          <w:p w14:paraId="7349470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095" w:type="dxa"/>
            <w:vMerge w:val="continue"/>
            <w:tcBorders>
              <w:tl2br w:val="nil"/>
              <w:tr2bl w:val="nil"/>
            </w:tcBorders>
            <w:noWrap w:val="0"/>
            <w:vAlign w:val="top"/>
          </w:tcPr>
          <w:p w14:paraId="78E765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290" w:type="dxa"/>
            <w:vMerge w:val="continue"/>
            <w:tcBorders>
              <w:tl2br w:val="nil"/>
              <w:tr2bl w:val="nil"/>
            </w:tcBorders>
            <w:noWrap w:val="0"/>
            <w:vAlign w:val="top"/>
          </w:tcPr>
          <w:p w14:paraId="21EF31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915" w:type="dxa"/>
            <w:tcBorders>
              <w:tl2br w:val="nil"/>
              <w:tr2bl w:val="nil"/>
            </w:tcBorders>
            <w:noWrap w:val="0"/>
            <w:vAlign w:val="center"/>
          </w:tcPr>
          <w:p w14:paraId="74BAD3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大类</w:t>
            </w:r>
          </w:p>
        </w:tc>
        <w:tc>
          <w:tcPr>
            <w:tcW w:w="975" w:type="dxa"/>
            <w:tcBorders>
              <w:tl2br w:val="nil"/>
              <w:tr2bl w:val="nil"/>
            </w:tcBorders>
            <w:noWrap w:val="0"/>
            <w:vAlign w:val="center"/>
          </w:tcPr>
          <w:p w14:paraId="260615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小类</w:t>
            </w:r>
          </w:p>
        </w:tc>
        <w:tc>
          <w:tcPr>
            <w:tcW w:w="1140" w:type="dxa"/>
            <w:vMerge w:val="continue"/>
            <w:tcBorders>
              <w:tl2br w:val="nil"/>
              <w:tr2bl w:val="nil"/>
            </w:tcBorders>
            <w:noWrap w:val="0"/>
            <w:vAlign w:val="top"/>
          </w:tcPr>
          <w:p w14:paraId="2CB973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20" w:type="dxa"/>
            <w:vMerge w:val="continue"/>
            <w:tcBorders>
              <w:tl2br w:val="nil"/>
              <w:tr2bl w:val="nil"/>
            </w:tcBorders>
            <w:noWrap w:val="0"/>
            <w:vAlign w:val="top"/>
          </w:tcPr>
          <w:p w14:paraId="77FCBC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35" w:type="dxa"/>
            <w:vMerge w:val="continue"/>
            <w:tcBorders>
              <w:tl2br w:val="nil"/>
              <w:tr2bl w:val="nil"/>
            </w:tcBorders>
            <w:noWrap w:val="0"/>
            <w:vAlign w:val="top"/>
          </w:tcPr>
          <w:p w14:paraId="4FAF1C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r>
      <w:tr w14:paraId="23FE3E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l2br w:val="nil"/>
              <w:tr2bl w:val="nil"/>
            </w:tcBorders>
            <w:noWrap w:val="0"/>
            <w:vAlign w:val="top"/>
          </w:tcPr>
          <w:p w14:paraId="3BFC8B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1095" w:type="dxa"/>
            <w:tcBorders>
              <w:tl2br w:val="nil"/>
              <w:tr2bl w:val="nil"/>
            </w:tcBorders>
            <w:noWrap w:val="0"/>
            <w:vAlign w:val="top"/>
          </w:tcPr>
          <w:p w14:paraId="61635E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290" w:type="dxa"/>
            <w:tcBorders>
              <w:tl2br w:val="nil"/>
              <w:tr2bl w:val="nil"/>
            </w:tcBorders>
            <w:noWrap w:val="0"/>
            <w:vAlign w:val="top"/>
          </w:tcPr>
          <w:p w14:paraId="530D3C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丙</w:t>
            </w:r>
          </w:p>
        </w:tc>
        <w:tc>
          <w:tcPr>
            <w:tcW w:w="915" w:type="dxa"/>
            <w:tcBorders>
              <w:tl2br w:val="nil"/>
              <w:tr2bl w:val="nil"/>
            </w:tcBorders>
            <w:noWrap w:val="0"/>
            <w:vAlign w:val="top"/>
          </w:tcPr>
          <w:p w14:paraId="411DA0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丁</w:t>
            </w:r>
          </w:p>
        </w:tc>
        <w:tc>
          <w:tcPr>
            <w:tcW w:w="975" w:type="dxa"/>
            <w:tcBorders>
              <w:tl2br w:val="nil"/>
              <w:tr2bl w:val="nil"/>
            </w:tcBorders>
            <w:noWrap w:val="0"/>
            <w:vAlign w:val="top"/>
          </w:tcPr>
          <w:p w14:paraId="108078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戊</w:t>
            </w:r>
          </w:p>
        </w:tc>
        <w:tc>
          <w:tcPr>
            <w:tcW w:w="1140" w:type="dxa"/>
            <w:tcBorders>
              <w:tl2br w:val="nil"/>
              <w:tr2bl w:val="nil"/>
            </w:tcBorders>
            <w:noWrap w:val="0"/>
            <w:vAlign w:val="top"/>
          </w:tcPr>
          <w:p w14:paraId="193A84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己</w:t>
            </w:r>
          </w:p>
        </w:tc>
        <w:tc>
          <w:tcPr>
            <w:tcW w:w="1320" w:type="dxa"/>
            <w:tcBorders>
              <w:tl2br w:val="nil"/>
              <w:tr2bl w:val="nil"/>
            </w:tcBorders>
            <w:noWrap w:val="0"/>
            <w:vAlign w:val="top"/>
          </w:tcPr>
          <w:p w14:paraId="717271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庚</w:t>
            </w:r>
          </w:p>
        </w:tc>
        <w:tc>
          <w:tcPr>
            <w:tcW w:w="1335" w:type="dxa"/>
            <w:tcBorders>
              <w:tl2br w:val="nil"/>
              <w:tr2bl w:val="nil"/>
            </w:tcBorders>
            <w:noWrap w:val="0"/>
            <w:vAlign w:val="top"/>
          </w:tcPr>
          <w:p w14:paraId="08027B8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val="en-US" w:eastAsia="zh-CN"/>
              </w:rPr>
              <w:t>1</w:t>
            </w:r>
          </w:p>
        </w:tc>
      </w:tr>
      <w:tr w14:paraId="44C235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bottom w:val="nil"/>
              <w:right w:val="single" w:color="auto" w:sz="2" w:space="0"/>
            </w:tcBorders>
            <w:noWrap w:val="0"/>
            <w:vAlign w:val="top"/>
          </w:tcPr>
          <w:p w14:paraId="232E3E3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合计</w:t>
            </w:r>
          </w:p>
        </w:tc>
        <w:tc>
          <w:tcPr>
            <w:tcW w:w="1095" w:type="dxa"/>
            <w:tcBorders>
              <w:left w:val="single" w:color="auto" w:sz="2" w:space="0"/>
              <w:bottom w:val="nil"/>
              <w:right w:val="nil"/>
            </w:tcBorders>
            <w:noWrap w:val="0"/>
            <w:vAlign w:val="top"/>
          </w:tcPr>
          <w:p w14:paraId="44584D5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left w:val="nil"/>
              <w:bottom w:val="nil"/>
              <w:right w:val="nil"/>
            </w:tcBorders>
            <w:noWrap w:val="0"/>
            <w:vAlign w:val="top"/>
          </w:tcPr>
          <w:p w14:paraId="73F2472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left w:val="nil"/>
              <w:bottom w:val="nil"/>
              <w:right w:val="nil"/>
            </w:tcBorders>
            <w:noWrap w:val="0"/>
            <w:vAlign w:val="top"/>
          </w:tcPr>
          <w:p w14:paraId="023C498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left w:val="nil"/>
              <w:bottom w:val="nil"/>
              <w:right w:val="nil"/>
            </w:tcBorders>
            <w:noWrap w:val="0"/>
            <w:vAlign w:val="top"/>
          </w:tcPr>
          <w:p w14:paraId="15D0D6B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left w:val="nil"/>
              <w:bottom w:val="nil"/>
              <w:right w:val="nil"/>
            </w:tcBorders>
            <w:noWrap w:val="0"/>
            <w:vAlign w:val="top"/>
          </w:tcPr>
          <w:p w14:paraId="0E09F3E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left w:val="nil"/>
              <w:bottom w:val="nil"/>
              <w:right w:val="nil"/>
            </w:tcBorders>
            <w:noWrap w:val="0"/>
            <w:vAlign w:val="top"/>
          </w:tcPr>
          <w:p w14:paraId="17FA350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left w:val="nil"/>
              <w:bottom w:val="nil"/>
            </w:tcBorders>
            <w:noWrap w:val="0"/>
            <w:vAlign w:val="top"/>
          </w:tcPr>
          <w:p w14:paraId="38FE5B0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4A4B45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op w:val="nil"/>
              <w:bottom w:val="nil"/>
              <w:right w:val="single" w:color="auto" w:sz="2" w:space="0"/>
            </w:tcBorders>
            <w:noWrap w:val="0"/>
            <w:vAlign w:val="top"/>
          </w:tcPr>
          <w:p w14:paraId="2CA71A8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nil"/>
              <w:right w:val="nil"/>
            </w:tcBorders>
            <w:noWrap w:val="0"/>
            <w:vAlign w:val="top"/>
          </w:tcPr>
          <w:p w14:paraId="11485D0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top w:val="nil"/>
              <w:left w:val="nil"/>
              <w:bottom w:val="nil"/>
              <w:right w:val="nil"/>
            </w:tcBorders>
            <w:noWrap w:val="0"/>
            <w:vAlign w:val="top"/>
          </w:tcPr>
          <w:p w14:paraId="165DDDA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nil"/>
              <w:right w:val="nil"/>
            </w:tcBorders>
            <w:noWrap w:val="0"/>
            <w:vAlign w:val="top"/>
          </w:tcPr>
          <w:p w14:paraId="419EB15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nil"/>
              <w:right w:val="nil"/>
            </w:tcBorders>
            <w:noWrap w:val="0"/>
            <w:vAlign w:val="top"/>
          </w:tcPr>
          <w:p w14:paraId="56DF70F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top w:val="nil"/>
              <w:left w:val="nil"/>
              <w:bottom w:val="nil"/>
              <w:right w:val="nil"/>
            </w:tcBorders>
            <w:noWrap w:val="0"/>
            <w:vAlign w:val="top"/>
          </w:tcPr>
          <w:p w14:paraId="7F84A85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top w:val="nil"/>
              <w:left w:val="nil"/>
              <w:bottom w:val="nil"/>
              <w:right w:val="nil"/>
            </w:tcBorders>
            <w:noWrap w:val="0"/>
            <w:vAlign w:val="top"/>
          </w:tcPr>
          <w:p w14:paraId="35CA992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top w:val="nil"/>
              <w:left w:val="nil"/>
              <w:bottom w:val="nil"/>
            </w:tcBorders>
            <w:noWrap w:val="0"/>
            <w:vAlign w:val="top"/>
          </w:tcPr>
          <w:p w14:paraId="7A6C3EB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17B067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op w:val="nil"/>
              <w:right w:val="single" w:color="auto" w:sz="2" w:space="0"/>
            </w:tcBorders>
            <w:noWrap w:val="0"/>
            <w:vAlign w:val="top"/>
          </w:tcPr>
          <w:p w14:paraId="1292400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right w:val="nil"/>
            </w:tcBorders>
            <w:noWrap w:val="0"/>
            <w:vAlign w:val="top"/>
          </w:tcPr>
          <w:p w14:paraId="33B12D9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top w:val="nil"/>
              <w:left w:val="nil"/>
              <w:right w:val="nil"/>
            </w:tcBorders>
            <w:noWrap w:val="0"/>
            <w:vAlign w:val="top"/>
          </w:tcPr>
          <w:p w14:paraId="1B3B574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right w:val="nil"/>
            </w:tcBorders>
            <w:noWrap w:val="0"/>
            <w:vAlign w:val="top"/>
          </w:tcPr>
          <w:p w14:paraId="571C45E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right w:val="nil"/>
            </w:tcBorders>
            <w:noWrap w:val="0"/>
            <w:vAlign w:val="top"/>
          </w:tcPr>
          <w:p w14:paraId="614BB86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top w:val="nil"/>
              <w:left w:val="nil"/>
              <w:right w:val="nil"/>
            </w:tcBorders>
            <w:noWrap w:val="0"/>
            <w:vAlign w:val="top"/>
          </w:tcPr>
          <w:p w14:paraId="62BF8CD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top w:val="nil"/>
              <w:left w:val="nil"/>
              <w:right w:val="nil"/>
            </w:tcBorders>
            <w:noWrap w:val="0"/>
            <w:vAlign w:val="top"/>
          </w:tcPr>
          <w:p w14:paraId="77073B3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top w:val="nil"/>
              <w:left w:val="nil"/>
            </w:tcBorders>
            <w:noWrap w:val="0"/>
            <w:vAlign w:val="top"/>
          </w:tcPr>
          <w:p w14:paraId="50EB597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bl>
    <w:p w14:paraId="51307189">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13E2103B">
      <w:pPr>
        <w:rPr>
          <w:rFonts w:hint="eastAsia" w:ascii="宋体" w:hAnsi="宋体" w:eastAsia="宋体"/>
          <w:bCs/>
          <w:color w:val="auto"/>
          <w:sz w:val="18"/>
          <w:szCs w:val="18"/>
          <w:lang w:eastAsia="zh-CN"/>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度</w:t>
      </w: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项目的基本情况。</w:t>
      </w:r>
      <w:r>
        <w:rPr>
          <w:rFonts w:hint="eastAsia" w:ascii="宋体" w:hAnsi="宋体"/>
          <w:bCs/>
          <w:color w:val="auto"/>
          <w:sz w:val="18"/>
          <w:szCs w:val="18"/>
          <w:lang w:eastAsia="zh-CN"/>
        </w:rPr>
        <w:t>分包项目是指与承揽对外承包工程项目的中国企业或境外中资企业签订分包合同（或协议）的工程项目。</w:t>
      </w:r>
    </w:p>
    <w:p w14:paraId="59FF7A5E">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对外承包工程分包项目实施</w:t>
      </w:r>
      <w:r>
        <w:rPr>
          <w:rFonts w:hint="eastAsia" w:ascii="宋体" w:hAnsi="宋体"/>
          <w:bCs/>
          <w:color w:val="auto"/>
          <w:sz w:val="18"/>
          <w:szCs w:val="18"/>
        </w:rPr>
        <w:t>企业于月后10日内报送省级商务主管部门或商务部。</w:t>
      </w:r>
    </w:p>
    <w:p w14:paraId="1E0D6CC5">
      <w:pPr>
        <w:ind w:firstLine="540" w:firstLineChars="300"/>
        <w:rPr>
          <w:rFonts w:ascii="宋体" w:hAnsi="宋体"/>
          <w:bCs/>
          <w:color w:val="auto"/>
          <w:sz w:val="18"/>
          <w:szCs w:val="18"/>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rPr>
        <w:t>“项目类别”项目大小分类见附录（一）。</w:t>
      </w:r>
    </w:p>
    <w:p w14:paraId="3ED801C7">
      <w:pPr>
        <w:ind w:firstLine="540" w:firstLineChars="300"/>
        <w:rPr>
          <w:rFonts w:hint="default" w:ascii="宋体" w:hAnsi="宋体" w:eastAsia="宋体"/>
          <w:bCs/>
          <w:color w:val="auto"/>
          <w:sz w:val="18"/>
          <w:szCs w:val="18"/>
          <w:lang w:val="en-US" w:eastAsia="zh-CN"/>
        </w:rPr>
      </w:pPr>
      <w:r>
        <w:rPr>
          <w:rFonts w:hint="eastAsia" w:ascii="宋体" w:hAnsi="宋体"/>
          <w:bCs/>
          <w:color w:val="auto"/>
          <w:sz w:val="18"/>
          <w:szCs w:val="18"/>
        </w:rPr>
        <w:t>4</w:t>
      </w:r>
      <w:r>
        <w:rPr>
          <w:rFonts w:hint="eastAsia" w:ascii="宋体" w:hAnsi="宋体"/>
          <w:bCs/>
          <w:color w:val="auto"/>
          <w:sz w:val="18"/>
          <w:szCs w:val="18"/>
          <w:lang w:val="en-US" w:eastAsia="zh-CN"/>
        </w:rPr>
        <w:t>.</w:t>
      </w:r>
      <w:r>
        <w:rPr>
          <w:rFonts w:hint="eastAsia" w:ascii="宋体" w:hAnsi="宋体"/>
          <w:bCs/>
          <w:color w:val="auto"/>
          <w:sz w:val="18"/>
          <w:szCs w:val="18"/>
          <w:lang w:eastAsia="zh-CN"/>
        </w:rPr>
        <w:t>分包项目获取方式：包括（</w:t>
      </w:r>
      <w:r>
        <w:rPr>
          <w:rFonts w:hint="eastAsia" w:ascii="宋体" w:hAnsi="宋体"/>
          <w:bCs/>
          <w:color w:val="auto"/>
          <w:sz w:val="18"/>
          <w:szCs w:val="18"/>
          <w:lang w:val="en-US" w:eastAsia="zh-CN"/>
        </w:rPr>
        <w:t>1</w:t>
      </w:r>
      <w:r>
        <w:rPr>
          <w:rFonts w:hint="eastAsia" w:ascii="宋体" w:hAnsi="宋体"/>
          <w:bCs/>
          <w:color w:val="auto"/>
          <w:sz w:val="18"/>
          <w:szCs w:val="18"/>
          <w:lang w:eastAsia="zh-CN"/>
        </w:rPr>
        <w:t>）从上级企业集团以委托协议（合同）获取；（</w:t>
      </w:r>
      <w:r>
        <w:rPr>
          <w:rFonts w:hint="eastAsia" w:ascii="宋体" w:hAnsi="宋体"/>
          <w:bCs/>
          <w:color w:val="auto"/>
          <w:sz w:val="18"/>
          <w:szCs w:val="18"/>
          <w:lang w:val="en-US" w:eastAsia="zh-CN"/>
        </w:rPr>
        <w:t>2</w:t>
      </w:r>
      <w:r>
        <w:rPr>
          <w:rFonts w:hint="eastAsia" w:ascii="宋体" w:hAnsi="宋体"/>
          <w:bCs/>
          <w:color w:val="auto"/>
          <w:sz w:val="18"/>
          <w:szCs w:val="18"/>
          <w:lang w:eastAsia="zh-CN"/>
        </w:rPr>
        <w:t>）从成员企业以委托协议（合同）获取；（</w:t>
      </w:r>
      <w:r>
        <w:rPr>
          <w:rFonts w:hint="eastAsia" w:ascii="宋体" w:hAnsi="宋体"/>
          <w:bCs/>
          <w:color w:val="auto"/>
          <w:sz w:val="18"/>
          <w:szCs w:val="18"/>
          <w:lang w:val="en-US" w:eastAsia="zh-CN"/>
        </w:rPr>
        <w:t>3</w:t>
      </w:r>
      <w:r>
        <w:rPr>
          <w:rFonts w:hint="eastAsia" w:ascii="宋体" w:hAnsi="宋体"/>
          <w:bCs/>
          <w:color w:val="auto"/>
          <w:sz w:val="18"/>
          <w:szCs w:val="18"/>
          <w:lang w:eastAsia="zh-CN"/>
        </w:rPr>
        <w:t>）通过与其他工程企业签订委托协议（合同）获取；（</w:t>
      </w:r>
      <w:r>
        <w:rPr>
          <w:rFonts w:hint="eastAsia" w:ascii="宋体" w:hAnsi="宋体"/>
          <w:bCs/>
          <w:color w:val="auto"/>
          <w:sz w:val="18"/>
          <w:szCs w:val="18"/>
          <w:lang w:val="en-US" w:eastAsia="zh-CN"/>
        </w:rPr>
        <w:t>4</w:t>
      </w:r>
      <w:r>
        <w:rPr>
          <w:rFonts w:hint="eastAsia" w:ascii="宋体" w:hAnsi="宋体"/>
          <w:bCs/>
          <w:color w:val="auto"/>
          <w:sz w:val="18"/>
          <w:szCs w:val="18"/>
          <w:lang w:eastAsia="zh-CN"/>
        </w:rPr>
        <w:t>）其他方式获取（请备注说明）。</w:t>
      </w:r>
    </w:p>
    <w:p w14:paraId="5AE6153B">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5.</w:t>
      </w:r>
      <w:r>
        <w:rPr>
          <w:rFonts w:hint="eastAsia" w:ascii="宋体" w:hAnsi="宋体"/>
          <w:bCs/>
          <w:color w:val="auto"/>
          <w:sz w:val="18"/>
          <w:szCs w:val="18"/>
          <w:lang w:eastAsia="zh-CN"/>
        </w:rPr>
        <w:t>分包项目合同的中方总包企业名称：指与本企业签订对外承包工程分包合同（协议）的中国企业或境外中资工程企业名称。</w:t>
      </w:r>
    </w:p>
    <w:p w14:paraId="1B246984">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6.项目合同工期：根据对外承包工程项目合同规定的工期折合月数填报。</w:t>
      </w:r>
    </w:p>
    <w:p w14:paraId="0FD18E6D">
      <w:pPr>
        <w:ind w:firstLine="540" w:firstLineChars="300"/>
        <w:rPr>
          <w:rFonts w:hint="eastAsia" w:ascii="宋体" w:hAnsi="宋体"/>
          <w:bCs/>
          <w:color w:val="auto"/>
          <w:sz w:val="18"/>
          <w:szCs w:val="18"/>
          <w:lang w:val="en-US" w:eastAsia="zh-CN"/>
        </w:rPr>
      </w:pPr>
    </w:p>
    <w:p w14:paraId="7FE20385">
      <w:pPr>
        <w:ind w:firstLine="540" w:firstLineChars="300"/>
        <w:rPr>
          <w:rFonts w:hint="eastAsia" w:ascii="宋体" w:hAnsi="宋体"/>
          <w:bCs/>
          <w:color w:val="auto"/>
          <w:sz w:val="18"/>
          <w:szCs w:val="18"/>
          <w:lang w:val="en-US" w:eastAsia="zh-CN"/>
        </w:rPr>
      </w:pPr>
    </w:p>
    <w:p w14:paraId="46472F77">
      <w:pPr>
        <w:ind w:firstLine="540" w:firstLineChars="300"/>
        <w:rPr>
          <w:rFonts w:hint="eastAsia" w:ascii="宋体" w:hAnsi="宋体"/>
          <w:bCs/>
          <w:color w:val="auto"/>
          <w:sz w:val="18"/>
          <w:szCs w:val="18"/>
          <w:lang w:val="en-US" w:eastAsia="zh-CN"/>
        </w:rPr>
      </w:pPr>
    </w:p>
    <w:p w14:paraId="5F730821">
      <w:pPr>
        <w:ind w:firstLine="540" w:firstLineChars="300"/>
        <w:rPr>
          <w:rFonts w:hint="eastAsia" w:ascii="宋体" w:hAnsi="宋体"/>
          <w:bCs/>
          <w:color w:val="auto"/>
          <w:sz w:val="18"/>
          <w:szCs w:val="18"/>
          <w:lang w:val="en-US" w:eastAsia="zh-CN"/>
        </w:rPr>
      </w:pPr>
    </w:p>
    <w:p w14:paraId="2B6E78E3">
      <w:pPr>
        <w:ind w:firstLine="540" w:firstLineChars="300"/>
        <w:rPr>
          <w:rFonts w:hint="eastAsia" w:ascii="宋体" w:hAnsi="宋体"/>
          <w:bCs/>
          <w:color w:val="auto"/>
          <w:sz w:val="18"/>
          <w:szCs w:val="18"/>
          <w:lang w:val="en-US" w:eastAsia="zh-CN"/>
        </w:rPr>
      </w:pPr>
    </w:p>
    <w:p w14:paraId="27FC7071">
      <w:pPr>
        <w:ind w:firstLine="540" w:firstLineChars="300"/>
        <w:rPr>
          <w:rFonts w:hint="eastAsia" w:ascii="宋体" w:hAnsi="宋体"/>
          <w:bCs/>
          <w:color w:val="auto"/>
          <w:sz w:val="18"/>
          <w:szCs w:val="18"/>
          <w:lang w:val="en-US" w:eastAsia="zh-CN"/>
        </w:rPr>
      </w:pPr>
    </w:p>
    <w:p w14:paraId="7C76C4E1">
      <w:pPr>
        <w:ind w:firstLine="540" w:firstLineChars="300"/>
        <w:rPr>
          <w:rFonts w:hint="eastAsia" w:ascii="宋体" w:hAnsi="宋体"/>
          <w:bCs/>
          <w:color w:val="auto"/>
          <w:sz w:val="18"/>
          <w:szCs w:val="18"/>
          <w:lang w:val="en-US" w:eastAsia="zh-CN"/>
        </w:rPr>
      </w:pPr>
    </w:p>
    <w:p w14:paraId="7FBF1048">
      <w:pPr>
        <w:ind w:firstLine="540" w:firstLineChars="300"/>
        <w:rPr>
          <w:rFonts w:hint="eastAsia" w:ascii="宋体" w:hAnsi="宋体"/>
          <w:bCs/>
          <w:color w:val="auto"/>
          <w:sz w:val="18"/>
          <w:szCs w:val="18"/>
          <w:lang w:val="en-US" w:eastAsia="zh-CN"/>
        </w:rPr>
      </w:pPr>
    </w:p>
    <w:p w14:paraId="06CEB12D">
      <w:pPr>
        <w:ind w:firstLine="540" w:firstLineChars="300"/>
        <w:rPr>
          <w:rFonts w:hint="eastAsia" w:ascii="宋体" w:hAnsi="宋体"/>
          <w:bCs/>
          <w:color w:val="auto"/>
          <w:sz w:val="18"/>
          <w:szCs w:val="18"/>
          <w:lang w:val="en-US" w:eastAsia="zh-CN"/>
        </w:rPr>
      </w:pPr>
    </w:p>
    <w:p w14:paraId="1052FEA1">
      <w:pPr>
        <w:ind w:firstLine="540" w:firstLineChars="300"/>
        <w:rPr>
          <w:rFonts w:hint="eastAsia" w:ascii="宋体" w:hAnsi="宋体"/>
          <w:bCs/>
          <w:color w:val="auto"/>
          <w:sz w:val="18"/>
          <w:szCs w:val="18"/>
          <w:lang w:val="en-US" w:eastAsia="zh-CN"/>
        </w:rPr>
      </w:pPr>
    </w:p>
    <w:p w14:paraId="279DB3D2">
      <w:pPr>
        <w:ind w:firstLine="540" w:firstLineChars="300"/>
        <w:rPr>
          <w:rFonts w:hint="eastAsia" w:ascii="宋体" w:hAnsi="宋体"/>
          <w:bCs/>
          <w:color w:val="auto"/>
          <w:sz w:val="18"/>
          <w:szCs w:val="18"/>
          <w:lang w:val="en-US" w:eastAsia="zh-CN"/>
        </w:rPr>
      </w:pPr>
    </w:p>
    <w:p w14:paraId="683005E0">
      <w:pPr>
        <w:ind w:firstLine="540" w:firstLineChars="300"/>
        <w:rPr>
          <w:rFonts w:hint="eastAsia" w:ascii="宋体" w:hAnsi="宋体"/>
          <w:bCs/>
          <w:color w:val="auto"/>
          <w:sz w:val="18"/>
          <w:szCs w:val="18"/>
          <w:lang w:val="en-US" w:eastAsia="zh-CN"/>
        </w:rPr>
      </w:pPr>
    </w:p>
    <w:p w14:paraId="6320D2B4">
      <w:pPr>
        <w:ind w:firstLine="540" w:firstLineChars="300"/>
        <w:rPr>
          <w:rFonts w:hint="eastAsia" w:ascii="宋体" w:hAnsi="宋体"/>
          <w:bCs/>
          <w:color w:val="auto"/>
          <w:sz w:val="18"/>
          <w:szCs w:val="18"/>
          <w:lang w:val="en-US" w:eastAsia="zh-CN"/>
        </w:rPr>
      </w:pPr>
    </w:p>
    <w:p w14:paraId="35639EA1">
      <w:pPr>
        <w:ind w:firstLine="540" w:firstLineChars="300"/>
        <w:rPr>
          <w:rFonts w:hint="eastAsia" w:ascii="宋体" w:hAnsi="宋体"/>
          <w:bCs/>
          <w:color w:val="auto"/>
          <w:sz w:val="18"/>
          <w:szCs w:val="18"/>
          <w:lang w:val="en-US" w:eastAsia="zh-CN"/>
        </w:rPr>
      </w:pPr>
    </w:p>
    <w:p w14:paraId="1D0FD9A7">
      <w:pPr>
        <w:ind w:firstLine="540" w:firstLineChars="300"/>
        <w:rPr>
          <w:rFonts w:hint="eastAsia" w:ascii="宋体" w:hAnsi="宋体"/>
          <w:bCs/>
          <w:color w:val="auto"/>
          <w:sz w:val="18"/>
          <w:szCs w:val="18"/>
          <w:lang w:val="en-US" w:eastAsia="zh-CN"/>
        </w:rPr>
      </w:pPr>
    </w:p>
    <w:p w14:paraId="74BFE887">
      <w:pPr>
        <w:ind w:firstLine="540" w:firstLineChars="300"/>
        <w:rPr>
          <w:rFonts w:hint="eastAsia" w:ascii="宋体" w:hAnsi="宋体"/>
          <w:bCs/>
          <w:color w:val="auto"/>
          <w:sz w:val="18"/>
          <w:szCs w:val="18"/>
          <w:lang w:val="en-US" w:eastAsia="zh-CN"/>
        </w:rPr>
      </w:pPr>
    </w:p>
    <w:p w14:paraId="51362969">
      <w:pPr>
        <w:ind w:firstLine="540" w:firstLineChars="300"/>
        <w:rPr>
          <w:rFonts w:hint="eastAsia" w:ascii="宋体" w:hAnsi="宋体"/>
          <w:bCs/>
          <w:color w:val="auto"/>
          <w:sz w:val="18"/>
          <w:szCs w:val="18"/>
          <w:lang w:val="en-US" w:eastAsia="zh-CN"/>
        </w:rPr>
      </w:pPr>
    </w:p>
    <w:p w14:paraId="59651B32">
      <w:pPr>
        <w:jc w:val="center"/>
        <w:outlineLvl w:val="1"/>
        <w:rPr>
          <w:rFonts w:hint="eastAsia" w:ascii="宋体" w:hAnsi="宋体" w:eastAsia="宋体"/>
          <w:b/>
          <w:color w:val="auto"/>
          <w:sz w:val="32"/>
          <w:szCs w:val="32"/>
          <w:lang w:eastAsia="zh-CN"/>
        </w:rPr>
      </w:pPr>
      <w:bookmarkStart w:id="18" w:name="_Toc902263007"/>
      <w:r>
        <w:rPr>
          <w:rFonts w:hint="eastAsia" w:ascii="宋体" w:hAnsi="宋体"/>
          <w:b/>
          <w:color w:val="auto"/>
          <w:sz w:val="32"/>
          <w:szCs w:val="32"/>
        </w:rPr>
        <w:br w:type="page"/>
      </w:r>
      <w:bookmarkStart w:id="19" w:name="_Toc185976240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总包</w:t>
      </w:r>
      <w:r>
        <w:rPr>
          <w:rFonts w:hint="eastAsia" w:ascii="宋体" w:hAnsi="宋体"/>
          <w:b w:val="0"/>
          <w:bCs/>
          <w:color w:val="auto"/>
          <w:sz w:val="32"/>
          <w:szCs w:val="32"/>
        </w:rPr>
        <w:t>项目</w:t>
      </w:r>
      <w:r>
        <w:rPr>
          <w:rFonts w:hint="eastAsia" w:ascii="宋体" w:hAnsi="宋体"/>
          <w:b w:val="0"/>
          <w:bCs/>
          <w:color w:val="auto"/>
          <w:sz w:val="32"/>
          <w:szCs w:val="32"/>
          <w:lang w:eastAsia="zh-CN"/>
        </w:rPr>
        <w:t>完成情况</w:t>
      </w:r>
      <w:bookmarkEnd w:id="18"/>
      <w:bookmarkEnd w:id="19"/>
    </w:p>
    <w:p w14:paraId="5987D86F">
      <w:pPr>
        <w:ind w:right="720" w:firstLine="5850" w:firstLineChars="3250"/>
        <w:rPr>
          <w:rFonts w:ascii="宋体" w:hAnsi="宋体"/>
          <w:bCs/>
          <w:color w:val="auto"/>
          <w:sz w:val="18"/>
          <w:szCs w:val="18"/>
        </w:rPr>
      </w:pPr>
    </w:p>
    <w:tbl>
      <w:tblPr>
        <w:tblStyle w:val="11"/>
        <w:tblW w:w="9813" w:type="dxa"/>
        <w:tblInd w:w="93" w:type="dxa"/>
        <w:tblLayout w:type="fixed"/>
        <w:tblCellMar>
          <w:top w:w="0" w:type="dxa"/>
          <w:left w:w="108" w:type="dxa"/>
          <w:bottom w:w="0" w:type="dxa"/>
          <w:right w:w="108" w:type="dxa"/>
        </w:tblCellMar>
      </w:tblPr>
      <w:tblGrid>
        <w:gridCol w:w="5840"/>
        <w:gridCol w:w="3973"/>
      </w:tblGrid>
      <w:tr w14:paraId="5A53BBCD">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352EAAF">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1AA7DC31">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3</w:t>
            </w:r>
          </w:p>
        </w:tc>
      </w:tr>
      <w:tr w14:paraId="3F6BDEDC">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0CE1AF69">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127704A1">
            <w:pPr>
              <w:widowControl/>
              <w:jc w:val="left"/>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1B0ADE9C">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03BACF0E">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3224B808">
            <w:pPr>
              <w:widowControl/>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1F4559A5">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085A905E">
            <w:pPr>
              <w:widowControl/>
              <w:jc w:val="left"/>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973" w:type="dxa"/>
            <w:tcBorders>
              <w:top w:val="nil"/>
              <w:left w:val="nil"/>
              <w:bottom w:val="nil"/>
              <w:right w:val="nil"/>
            </w:tcBorders>
            <w:noWrap w:val="0"/>
            <w:vAlign w:val="center"/>
          </w:tcPr>
          <w:p w14:paraId="16A57B47">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3F011056">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2DFFCF07">
            <w:pPr>
              <w:widowControl/>
              <w:jc w:val="left"/>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973" w:type="dxa"/>
            <w:tcBorders>
              <w:top w:val="nil"/>
              <w:left w:val="nil"/>
              <w:bottom w:val="nil"/>
              <w:right w:val="nil"/>
            </w:tcBorders>
            <w:noWrap w:val="0"/>
            <w:vAlign w:val="center"/>
          </w:tcPr>
          <w:p w14:paraId="4E4CBF0B">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2080FCF7">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07D7F027">
            <w:pPr>
              <w:widowControl/>
              <w:jc w:val="left"/>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973" w:type="dxa"/>
            <w:tcBorders>
              <w:top w:val="nil"/>
              <w:left w:val="nil"/>
              <w:bottom w:val="nil"/>
              <w:right w:val="nil"/>
            </w:tcBorders>
            <w:noWrap w:val="0"/>
            <w:vAlign w:val="bottom"/>
          </w:tcPr>
          <w:p w14:paraId="22F236A7">
            <w:pPr>
              <w:widowControl/>
              <w:jc w:val="left"/>
              <w:rPr>
                <w:rFonts w:ascii="宋体" w:hAnsi="宋体" w:cs="宋体"/>
                <w:color w:val="auto"/>
                <w:kern w:val="0"/>
                <w:sz w:val="18"/>
                <w:szCs w:val="18"/>
              </w:rPr>
            </w:pPr>
            <w:r>
              <w:rPr>
                <w:rFonts w:hint="eastAsia" w:ascii="宋体" w:hAnsi="宋体" w:cs="宋体"/>
                <w:color w:val="auto"/>
                <w:kern w:val="0"/>
                <w:sz w:val="18"/>
                <w:szCs w:val="18"/>
              </w:rPr>
              <w:t>计量单位：万美元、人</w:t>
            </w:r>
          </w:p>
        </w:tc>
      </w:tr>
    </w:tbl>
    <w:p w14:paraId="021E9BBC">
      <w:pPr>
        <w:ind w:right="-180"/>
        <w:jc w:val="center"/>
        <w:rPr>
          <w:rFonts w:ascii="宋体" w:hAnsi="宋体"/>
          <w:bCs/>
          <w:color w:val="auto"/>
          <w:sz w:val="18"/>
          <w:szCs w:val="18"/>
        </w:rPr>
      </w:pPr>
      <w:r>
        <w:rPr>
          <w:rFonts w:hint="eastAsia" w:ascii="宋体" w:hAnsi="宋体"/>
          <w:bCs/>
          <w:color w:val="auto"/>
          <w:sz w:val="18"/>
          <w:szCs w:val="18"/>
        </w:rPr>
        <w:t>年         月</w:t>
      </w:r>
    </w:p>
    <w:tbl>
      <w:tblPr>
        <w:tblStyle w:val="11"/>
        <w:tblW w:w="99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588"/>
        <w:gridCol w:w="930"/>
        <w:gridCol w:w="915"/>
        <w:gridCol w:w="645"/>
        <w:gridCol w:w="720"/>
        <w:gridCol w:w="630"/>
        <w:gridCol w:w="690"/>
        <w:gridCol w:w="810"/>
        <w:gridCol w:w="885"/>
        <w:gridCol w:w="825"/>
      </w:tblGrid>
      <w:tr w14:paraId="3578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68" w:type="dxa"/>
            <w:vMerge w:val="restart"/>
            <w:tcBorders>
              <w:top w:val="single" w:color="auto" w:sz="8" w:space="0"/>
              <w:left w:val="nil"/>
              <w:bottom w:val="single" w:color="auto" w:sz="2" w:space="0"/>
              <w:right w:val="single" w:color="auto" w:sz="2" w:space="0"/>
              <w:tl2br w:val="single" w:color="auto" w:sz="2" w:space="0"/>
            </w:tcBorders>
            <w:noWrap w:val="0"/>
            <w:vAlign w:val="top"/>
          </w:tcPr>
          <w:p w14:paraId="3DDA924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p w14:paraId="6E6A868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095A2E5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p w14:paraId="262B393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Cs/>
                <w:color w:val="auto"/>
                <w:sz w:val="18"/>
                <w:szCs w:val="18"/>
              </w:rPr>
            </w:pPr>
          </w:p>
          <w:p w14:paraId="01F52C2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hAnsi="宋体"/>
                <w:bCs/>
                <w:color w:val="auto"/>
                <w:sz w:val="18"/>
                <w:szCs w:val="18"/>
              </w:rPr>
            </w:pPr>
            <w:r>
              <w:rPr>
                <w:rFonts w:hint="eastAsia" w:ascii="宋体" w:hAnsi="宋体"/>
                <w:bCs/>
                <w:color w:val="auto"/>
                <w:sz w:val="18"/>
                <w:szCs w:val="18"/>
              </w:rPr>
              <w:t>项目</w:t>
            </w:r>
          </w:p>
        </w:tc>
        <w:tc>
          <w:tcPr>
            <w:tcW w:w="900" w:type="dxa"/>
            <w:vMerge w:val="restart"/>
            <w:tcBorders>
              <w:top w:val="single" w:color="auto" w:sz="8" w:space="0"/>
              <w:left w:val="single" w:color="auto" w:sz="2" w:space="0"/>
              <w:bottom w:val="single" w:color="auto" w:sz="2" w:space="0"/>
              <w:right w:val="single" w:color="auto" w:sz="2" w:space="0"/>
            </w:tcBorders>
            <w:noWrap w:val="0"/>
            <w:vAlign w:val="center"/>
          </w:tcPr>
          <w:p w14:paraId="54426E8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588" w:type="dxa"/>
            <w:vMerge w:val="restart"/>
            <w:tcBorders>
              <w:top w:val="single" w:color="auto" w:sz="8" w:space="0"/>
              <w:left w:val="single" w:color="auto" w:sz="2" w:space="0"/>
              <w:bottom w:val="single" w:color="auto" w:sz="2" w:space="0"/>
              <w:right w:val="single" w:color="auto" w:sz="2" w:space="0"/>
            </w:tcBorders>
            <w:noWrap w:val="0"/>
            <w:vAlign w:val="center"/>
          </w:tcPr>
          <w:p w14:paraId="18FB2B8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项目状态</w:t>
            </w:r>
          </w:p>
        </w:tc>
        <w:tc>
          <w:tcPr>
            <w:tcW w:w="930" w:type="dxa"/>
            <w:vMerge w:val="restart"/>
            <w:tcBorders>
              <w:top w:val="single" w:color="auto" w:sz="8" w:space="0"/>
              <w:left w:val="single" w:color="auto" w:sz="2" w:space="0"/>
              <w:bottom w:val="single" w:color="auto" w:sz="2" w:space="0"/>
              <w:right w:val="single" w:color="auto" w:sz="2" w:space="0"/>
            </w:tcBorders>
            <w:noWrap w:val="0"/>
            <w:vAlign w:val="center"/>
          </w:tcPr>
          <w:p w14:paraId="61B8898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lang w:eastAsia="zh-CN"/>
              </w:rPr>
            </w:pPr>
            <w:r>
              <w:rPr>
                <w:rFonts w:hint="eastAsia" w:ascii="宋体" w:hAnsi="宋体"/>
                <w:bCs/>
                <w:color w:val="auto"/>
                <w:sz w:val="18"/>
                <w:szCs w:val="18"/>
                <w:lang w:eastAsia="zh-CN"/>
              </w:rPr>
              <w:t>新签合同份数</w:t>
            </w:r>
          </w:p>
        </w:tc>
        <w:tc>
          <w:tcPr>
            <w:tcW w:w="915" w:type="dxa"/>
            <w:vMerge w:val="restart"/>
            <w:tcBorders>
              <w:top w:val="single" w:color="auto" w:sz="8" w:space="0"/>
              <w:left w:val="single" w:color="auto" w:sz="2" w:space="0"/>
              <w:bottom w:val="single" w:color="auto" w:sz="2" w:space="0"/>
              <w:right w:val="single" w:color="auto" w:sz="2" w:space="0"/>
            </w:tcBorders>
            <w:noWrap w:val="0"/>
            <w:vAlign w:val="center"/>
          </w:tcPr>
          <w:p w14:paraId="0B91228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rPr>
              <w:t>新签合同额</w:t>
            </w:r>
          </w:p>
        </w:tc>
        <w:tc>
          <w:tcPr>
            <w:tcW w:w="1365" w:type="dxa"/>
            <w:gridSpan w:val="2"/>
            <w:tcBorders>
              <w:top w:val="single" w:color="auto" w:sz="8" w:space="0"/>
              <w:left w:val="single" w:color="auto" w:sz="2" w:space="0"/>
              <w:bottom w:val="single" w:color="auto" w:sz="2" w:space="0"/>
              <w:right w:val="single" w:color="auto" w:sz="2" w:space="0"/>
            </w:tcBorders>
            <w:noWrap w:val="0"/>
            <w:vAlign w:val="center"/>
          </w:tcPr>
          <w:p w14:paraId="246C24F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完成营业额</w:t>
            </w:r>
          </w:p>
        </w:tc>
        <w:tc>
          <w:tcPr>
            <w:tcW w:w="630" w:type="dxa"/>
            <w:vMerge w:val="restart"/>
            <w:tcBorders>
              <w:top w:val="single" w:color="auto" w:sz="8" w:space="0"/>
              <w:left w:val="single" w:color="auto" w:sz="2" w:space="0"/>
              <w:bottom w:val="single" w:color="auto" w:sz="2" w:space="0"/>
              <w:right w:val="single" w:color="auto" w:sz="2" w:space="0"/>
            </w:tcBorders>
            <w:noWrap w:val="0"/>
            <w:vAlign w:val="center"/>
          </w:tcPr>
          <w:p w14:paraId="0D8AB99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外派人数</w:t>
            </w:r>
          </w:p>
        </w:tc>
        <w:tc>
          <w:tcPr>
            <w:tcW w:w="690" w:type="dxa"/>
            <w:vMerge w:val="restart"/>
            <w:tcBorders>
              <w:top w:val="single" w:color="auto" w:sz="8" w:space="0"/>
              <w:left w:val="single" w:color="auto" w:sz="2" w:space="0"/>
              <w:bottom w:val="single" w:color="auto" w:sz="2" w:space="0"/>
              <w:right w:val="single" w:color="auto" w:sz="2" w:space="0"/>
            </w:tcBorders>
            <w:noWrap w:val="0"/>
            <w:vAlign w:val="center"/>
          </w:tcPr>
          <w:p w14:paraId="266FFA8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月末在外人数</w:t>
            </w:r>
          </w:p>
        </w:tc>
        <w:tc>
          <w:tcPr>
            <w:tcW w:w="810" w:type="dxa"/>
            <w:vMerge w:val="restart"/>
            <w:tcBorders>
              <w:top w:val="single" w:color="auto" w:sz="8" w:space="0"/>
              <w:left w:val="single" w:color="auto" w:sz="2" w:space="0"/>
              <w:bottom w:val="single" w:color="auto" w:sz="2" w:space="0"/>
              <w:right w:val="single" w:color="auto" w:sz="2" w:space="0"/>
            </w:tcBorders>
            <w:noWrap w:val="0"/>
            <w:vAlign w:val="center"/>
          </w:tcPr>
          <w:p w14:paraId="2368671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p>
        </w:tc>
        <w:tc>
          <w:tcPr>
            <w:tcW w:w="885" w:type="dxa"/>
            <w:vMerge w:val="restart"/>
            <w:tcBorders>
              <w:top w:val="single" w:color="auto" w:sz="8" w:space="0"/>
              <w:left w:val="single" w:color="auto" w:sz="2" w:space="0"/>
              <w:bottom w:val="single" w:color="auto" w:sz="2" w:space="0"/>
              <w:right w:val="single" w:color="auto" w:sz="2" w:space="0"/>
            </w:tcBorders>
            <w:noWrap w:val="0"/>
            <w:vAlign w:val="center"/>
          </w:tcPr>
          <w:p w14:paraId="1477DDB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月末雇用第三国人员数量</w:t>
            </w:r>
          </w:p>
        </w:tc>
        <w:tc>
          <w:tcPr>
            <w:tcW w:w="825" w:type="dxa"/>
            <w:vMerge w:val="restart"/>
            <w:tcBorders>
              <w:top w:val="single" w:color="auto" w:sz="8" w:space="0"/>
              <w:left w:val="single" w:color="auto" w:sz="2" w:space="0"/>
              <w:bottom w:val="single" w:color="auto" w:sz="2" w:space="0"/>
              <w:right w:val="nil"/>
            </w:tcBorders>
            <w:noWrap w:val="0"/>
            <w:vAlign w:val="center"/>
          </w:tcPr>
          <w:p w14:paraId="6FE617B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月末待执行合同余额</w:t>
            </w:r>
          </w:p>
        </w:tc>
      </w:tr>
      <w:tr w14:paraId="32AF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tcBorders>
              <w:top w:val="single" w:color="auto" w:sz="2" w:space="0"/>
              <w:left w:val="nil"/>
              <w:bottom w:val="single" w:color="auto" w:sz="2" w:space="0"/>
              <w:right w:val="single" w:color="auto" w:sz="2" w:space="0"/>
            </w:tcBorders>
            <w:noWrap w:val="0"/>
            <w:vAlign w:val="top"/>
          </w:tcPr>
          <w:p w14:paraId="66771D3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Cs/>
                <w:color w:val="auto"/>
                <w:sz w:val="18"/>
                <w:szCs w:val="18"/>
              </w:rPr>
            </w:pPr>
          </w:p>
        </w:tc>
        <w:tc>
          <w:tcPr>
            <w:tcW w:w="900" w:type="dxa"/>
            <w:vMerge w:val="continue"/>
            <w:tcBorders>
              <w:top w:val="single" w:color="auto" w:sz="2" w:space="0"/>
              <w:left w:val="single" w:color="auto" w:sz="2" w:space="0"/>
              <w:bottom w:val="single" w:color="auto" w:sz="2" w:space="0"/>
              <w:right w:val="single" w:color="auto" w:sz="2" w:space="0"/>
            </w:tcBorders>
            <w:noWrap w:val="0"/>
            <w:vAlign w:val="center"/>
          </w:tcPr>
          <w:p w14:paraId="67CE05B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588" w:type="dxa"/>
            <w:vMerge w:val="continue"/>
            <w:tcBorders>
              <w:top w:val="single" w:color="auto" w:sz="2" w:space="0"/>
              <w:left w:val="single" w:color="auto" w:sz="2" w:space="0"/>
              <w:bottom w:val="single" w:color="auto" w:sz="2" w:space="0"/>
              <w:right w:val="single" w:color="auto" w:sz="2" w:space="0"/>
            </w:tcBorders>
            <w:noWrap w:val="0"/>
            <w:vAlign w:val="center"/>
          </w:tcPr>
          <w:p w14:paraId="210F719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930" w:type="dxa"/>
            <w:vMerge w:val="continue"/>
            <w:tcBorders>
              <w:top w:val="single" w:color="auto" w:sz="2" w:space="0"/>
              <w:left w:val="single" w:color="auto" w:sz="2" w:space="0"/>
              <w:bottom w:val="single" w:color="auto" w:sz="2" w:space="0"/>
              <w:right w:val="single" w:color="auto" w:sz="2" w:space="0"/>
            </w:tcBorders>
            <w:noWrap w:val="0"/>
            <w:vAlign w:val="center"/>
          </w:tcPr>
          <w:p w14:paraId="2EB1B1A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915" w:type="dxa"/>
            <w:vMerge w:val="continue"/>
            <w:tcBorders>
              <w:top w:val="single" w:color="auto" w:sz="2" w:space="0"/>
              <w:left w:val="single" w:color="auto" w:sz="2" w:space="0"/>
              <w:bottom w:val="single" w:color="auto" w:sz="2" w:space="0"/>
              <w:right w:val="single" w:color="auto" w:sz="2" w:space="0"/>
            </w:tcBorders>
            <w:noWrap w:val="0"/>
            <w:vAlign w:val="center"/>
          </w:tcPr>
          <w:p w14:paraId="7FD9B07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645" w:type="dxa"/>
            <w:tcBorders>
              <w:top w:val="single" w:color="auto" w:sz="2" w:space="0"/>
              <w:left w:val="single" w:color="auto" w:sz="2" w:space="0"/>
              <w:bottom w:val="single" w:color="auto" w:sz="2" w:space="0"/>
              <w:right w:val="single" w:color="auto" w:sz="2" w:space="0"/>
            </w:tcBorders>
            <w:noWrap w:val="0"/>
            <w:vAlign w:val="center"/>
          </w:tcPr>
          <w:p w14:paraId="672CE86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shd w:val="pct10" w:color="auto" w:fill="FFFFFF"/>
                <w:lang w:val="en-US" w:eastAsia="zh-CN" w:bidi="ar-SA"/>
              </w:rPr>
            </w:pPr>
            <w:r>
              <w:rPr>
                <w:rFonts w:hint="eastAsia" w:ascii="宋体" w:hAnsi="宋体" w:cs="Times New Roman"/>
                <w:bCs/>
                <w:color w:val="auto"/>
                <w:kern w:val="2"/>
                <w:sz w:val="18"/>
                <w:szCs w:val="18"/>
                <w:shd w:val="clear" w:color="auto" w:fill="auto"/>
                <w:lang w:val="en-US" w:eastAsia="zh-CN" w:bidi="ar-SA"/>
              </w:rPr>
              <w:t>总额</w:t>
            </w:r>
          </w:p>
        </w:tc>
        <w:tc>
          <w:tcPr>
            <w:tcW w:w="720" w:type="dxa"/>
            <w:tcBorders>
              <w:top w:val="single" w:color="auto" w:sz="2" w:space="0"/>
              <w:left w:val="single" w:color="auto" w:sz="2" w:space="0"/>
              <w:bottom w:val="single" w:color="auto" w:sz="2" w:space="0"/>
              <w:right w:val="single" w:color="auto" w:sz="2" w:space="0"/>
            </w:tcBorders>
            <w:noWrap w:val="0"/>
            <w:vAlign w:val="center"/>
          </w:tcPr>
          <w:p w14:paraId="68F44D9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其中：非分包部分</w:t>
            </w:r>
          </w:p>
        </w:tc>
        <w:tc>
          <w:tcPr>
            <w:tcW w:w="630" w:type="dxa"/>
            <w:vMerge w:val="continue"/>
            <w:tcBorders>
              <w:top w:val="single" w:color="auto" w:sz="2" w:space="0"/>
              <w:left w:val="single" w:color="auto" w:sz="2" w:space="0"/>
              <w:bottom w:val="single" w:color="auto" w:sz="2" w:space="0"/>
              <w:right w:val="single" w:color="auto" w:sz="2" w:space="0"/>
            </w:tcBorders>
            <w:noWrap w:val="0"/>
            <w:vAlign w:val="center"/>
          </w:tcPr>
          <w:p w14:paraId="48C5C34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690" w:type="dxa"/>
            <w:vMerge w:val="continue"/>
            <w:tcBorders>
              <w:top w:val="single" w:color="auto" w:sz="2" w:space="0"/>
              <w:left w:val="single" w:color="auto" w:sz="2" w:space="0"/>
              <w:bottom w:val="single" w:color="auto" w:sz="2" w:space="0"/>
              <w:right w:val="single" w:color="auto" w:sz="2" w:space="0"/>
            </w:tcBorders>
            <w:noWrap w:val="0"/>
            <w:vAlign w:val="center"/>
          </w:tcPr>
          <w:p w14:paraId="0138B46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10" w:type="dxa"/>
            <w:vMerge w:val="continue"/>
            <w:tcBorders>
              <w:top w:val="single" w:color="auto" w:sz="2" w:space="0"/>
              <w:left w:val="single" w:color="auto" w:sz="2" w:space="0"/>
              <w:bottom w:val="single" w:color="auto" w:sz="2" w:space="0"/>
              <w:right w:val="single" w:color="auto" w:sz="2" w:space="0"/>
            </w:tcBorders>
            <w:noWrap w:val="0"/>
            <w:vAlign w:val="center"/>
          </w:tcPr>
          <w:p w14:paraId="3A6F9DA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85" w:type="dxa"/>
            <w:vMerge w:val="continue"/>
            <w:tcBorders>
              <w:top w:val="single" w:color="auto" w:sz="2" w:space="0"/>
              <w:left w:val="single" w:color="auto" w:sz="2" w:space="0"/>
              <w:bottom w:val="single" w:color="auto" w:sz="2" w:space="0"/>
              <w:right w:val="single" w:color="auto" w:sz="2" w:space="0"/>
            </w:tcBorders>
            <w:noWrap w:val="0"/>
            <w:vAlign w:val="center"/>
          </w:tcPr>
          <w:p w14:paraId="205BFB0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25" w:type="dxa"/>
            <w:vMerge w:val="continue"/>
            <w:tcBorders>
              <w:top w:val="single" w:color="auto" w:sz="2" w:space="0"/>
              <w:left w:val="single" w:color="auto" w:sz="2" w:space="0"/>
              <w:bottom w:val="single" w:color="auto" w:sz="2" w:space="0"/>
              <w:right w:val="nil"/>
            </w:tcBorders>
            <w:noWrap w:val="0"/>
            <w:vAlign w:val="center"/>
          </w:tcPr>
          <w:p w14:paraId="14136C8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r>
      <w:tr w14:paraId="3DC3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68" w:type="dxa"/>
            <w:tcBorders>
              <w:top w:val="single" w:color="auto" w:sz="2" w:space="0"/>
              <w:left w:val="nil"/>
              <w:bottom w:val="single" w:color="auto" w:sz="2" w:space="0"/>
              <w:right w:val="single" w:color="auto" w:sz="2" w:space="0"/>
            </w:tcBorders>
            <w:noWrap w:val="0"/>
            <w:vAlign w:val="top"/>
          </w:tcPr>
          <w:p w14:paraId="0E5ADEC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900" w:type="dxa"/>
            <w:tcBorders>
              <w:top w:val="single" w:color="auto" w:sz="2" w:space="0"/>
              <w:left w:val="single" w:color="auto" w:sz="2" w:space="0"/>
              <w:bottom w:val="single" w:color="auto" w:sz="2" w:space="0"/>
              <w:right w:val="single" w:color="auto" w:sz="2" w:space="0"/>
            </w:tcBorders>
            <w:noWrap w:val="0"/>
            <w:vAlign w:val="top"/>
          </w:tcPr>
          <w:p w14:paraId="3521D57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588" w:type="dxa"/>
            <w:tcBorders>
              <w:top w:val="single" w:color="auto" w:sz="2" w:space="0"/>
              <w:left w:val="single" w:color="auto" w:sz="2" w:space="0"/>
              <w:bottom w:val="single" w:color="auto" w:sz="2" w:space="0"/>
              <w:right w:val="single" w:color="auto" w:sz="2" w:space="0"/>
            </w:tcBorders>
            <w:noWrap w:val="0"/>
            <w:vAlign w:val="top"/>
          </w:tcPr>
          <w:p w14:paraId="102F6F4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丙</w:t>
            </w:r>
          </w:p>
        </w:tc>
        <w:tc>
          <w:tcPr>
            <w:tcW w:w="930" w:type="dxa"/>
            <w:tcBorders>
              <w:top w:val="single" w:color="auto" w:sz="2" w:space="0"/>
              <w:left w:val="single" w:color="auto" w:sz="2" w:space="0"/>
              <w:bottom w:val="single" w:color="auto" w:sz="2" w:space="0"/>
              <w:right w:val="single" w:color="auto" w:sz="2" w:space="0"/>
            </w:tcBorders>
            <w:noWrap w:val="0"/>
            <w:vAlign w:val="top"/>
          </w:tcPr>
          <w:p w14:paraId="439B7F7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bCs/>
                <w:color w:val="auto"/>
                <w:sz w:val="18"/>
                <w:szCs w:val="18"/>
                <w:lang w:val="en-US" w:eastAsia="zh-CN"/>
              </w:rPr>
            </w:pPr>
            <w:r>
              <w:rPr>
                <w:rFonts w:hint="eastAsia" w:ascii="宋体" w:hAnsi="宋体"/>
                <w:bCs/>
                <w:color w:val="auto"/>
                <w:sz w:val="18"/>
                <w:szCs w:val="18"/>
                <w:lang w:val="en-US" w:eastAsia="zh-CN"/>
              </w:rPr>
              <w:t>1</w:t>
            </w:r>
          </w:p>
        </w:tc>
        <w:tc>
          <w:tcPr>
            <w:tcW w:w="915" w:type="dxa"/>
            <w:tcBorders>
              <w:top w:val="single" w:color="auto" w:sz="2" w:space="0"/>
              <w:left w:val="single" w:color="auto" w:sz="2" w:space="0"/>
              <w:bottom w:val="single" w:color="auto" w:sz="2" w:space="0"/>
              <w:right w:val="single" w:color="auto" w:sz="2" w:space="0"/>
            </w:tcBorders>
            <w:noWrap w:val="0"/>
            <w:vAlign w:val="top"/>
          </w:tcPr>
          <w:p w14:paraId="453B853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lang w:val="en-US" w:eastAsia="zh-CN"/>
              </w:rPr>
            </w:pPr>
            <w:r>
              <w:rPr>
                <w:rFonts w:hint="eastAsia" w:ascii="宋体" w:hAnsi="宋体"/>
                <w:bCs/>
                <w:color w:val="auto"/>
                <w:sz w:val="18"/>
                <w:szCs w:val="18"/>
                <w:lang w:val="en-US" w:eastAsia="zh-CN"/>
              </w:rPr>
              <w:t>2</w:t>
            </w:r>
          </w:p>
        </w:tc>
        <w:tc>
          <w:tcPr>
            <w:tcW w:w="645" w:type="dxa"/>
            <w:tcBorders>
              <w:top w:val="single" w:color="auto" w:sz="2" w:space="0"/>
              <w:left w:val="single" w:color="auto" w:sz="2" w:space="0"/>
              <w:bottom w:val="single" w:color="auto" w:sz="2" w:space="0"/>
              <w:right w:val="single" w:color="auto" w:sz="2" w:space="0"/>
            </w:tcBorders>
            <w:noWrap w:val="0"/>
            <w:vAlign w:val="top"/>
          </w:tcPr>
          <w:p w14:paraId="15A3181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3</w:t>
            </w:r>
          </w:p>
        </w:tc>
        <w:tc>
          <w:tcPr>
            <w:tcW w:w="720" w:type="dxa"/>
            <w:tcBorders>
              <w:top w:val="single" w:color="auto" w:sz="2" w:space="0"/>
              <w:left w:val="single" w:color="auto" w:sz="2" w:space="0"/>
              <w:bottom w:val="single" w:color="auto" w:sz="2" w:space="0"/>
              <w:right w:val="single" w:color="auto" w:sz="2" w:space="0"/>
            </w:tcBorders>
            <w:noWrap w:val="0"/>
            <w:vAlign w:val="top"/>
          </w:tcPr>
          <w:p w14:paraId="33C5774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4</w:t>
            </w:r>
          </w:p>
        </w:tc>
        <w:tc>
          <w:tcPr>
            <w:tcW w:w="630" w:type="dxa"/>
            <w:tcBorders>
              <w:top w:val="single" w:color="auto" w:sz="2" w:space="0"/>
              <w:left w:val="single" w:color="auto" w:sz="2" w:space="0"/>
              <w:bottom w:val="single" w:color="auto" w:sz="2" w:space="0"/>
              <w:right w:val="single" w:color="auto" w:sz="2" w:space="0"/>
            </w:tcBorders>
            <w:noWrap w:val="0"/>
            <w:vAlign w:val="top"/>
          </w:tcPr>
          <w:p w14:paraId="0F7899C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5</w:t>
            </w:r>
          </w:p>
        </w:tc>
        <w:tc>
          <w:tcPr>
            <w:tcW w:w="690" w:type="dxa"/>
            <w:tcBorders>
              <w:top w:val="single" w:color="auto" w:sz="2" w:space="0"/>
              <w:left w:val="single" w:color="auto" w:sz="2" w:space="0"/>
              <w:bottom w:val="single" w:color="auto" w:sz="2" w:space="0"/>
              <w:right w:val="single" w:color="auto" w:sz="2" w:space="0"/>
            </w:tcBorders>
            <w:noWrap w:val="0"/>
            <w:vAlign w:val="top"/>
          </w:tcPr>
          <w:p w14:paraId="5ADDAEA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6</w:t>
            </w:r>
          </w:p>
        </w:tc>
        <w:tc>
          <w:tcPr>
            <w:tcW w:w="810" w:type="dxa"/>
            <w:tcBorders>
              <w:top w:val="single" w:color="auto" w:sz="2" w:space="0"/>
              <w:left w:val="single" w:color="auto" w:sz="2" w:space="0"/>
              <w:bottom w:val="single" w:color="auto" w:sz="2" w:space="0"/>
              <w:right w:val="single" w:color="auto" w:sz="2" w:space="0"/>
            </w:tcBorders>
            <w:noWrap w:val="0"/>
            <w:vAlign w:val="top"/>
          </w:tcPr>
          <w:p w14:paraId="79FCE16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7</w:t>
            </w:r>
          </w:p>
        </w:tc>
        <w:tc>
          <w:tcPr>
            <w:tcW w:w="885" w:type="dxa"/>
            <w:tcBorders>
              <w:top w:val="single" w:color="auto" w:sz="2" w:space="0"/>
              <w:left w:val="single" w:color="auto" w:sz="2" w:space="0"/>
              <w:bottom w:val="single" w:color="auto" w:sz="2" w:space="0"/>
              <w:right w:val="single" w:color="auto" w:sz="2" w:space="0"/>
            </w:tcBorders>
            <w:noWrap w:val="0"/>
            <w:vAlign w:val="top"/>
          </w:tcPr>
          <w:p w14:paraId="0C506D3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8</w:t>
            </w:r>
          </w:p>
        </w:tc>
        <w:tc>
          <w:tcPr>
            <w:tcW w:w="825" w:type="dxa"/>
            <w:tcBorders>
              <w:top w:val="single" w:color="auto" w:sz="2" w:space="0"/>
              <w:left w:val="single" w:color="auto" w:sz="2" w:space="0"/>
              <w:bottom w:val="single" w:color="auto" w:sz="2" w:space="0"/>
              <w:right w:val="nil"/>
            </w:tcBorders>
            <w:noWrap w:val="0"/>
            <w:vAlign w:val="top"/>
          </w:tcPr>
          <w:p w14:paraId="6DA4A00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9</w:t>
            </w:r>
          </w:p>
        </w:tc>
      </w:tr>
      <w:tr w14:paraId="3900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2" w:space="0"/>
              <w:left w:val="nil"/>
              <w:bottom w:val="nil"/>
              <w:right w:val="single" w:color="auto" w:sz="2" w:space="0"/>
            </w:tcBorders>
            <w:noWrap w:val="0"/>
            <w:vAlign w:val="top"/>
          </w:tcPr>
          <w:p w14:paraId="73360C89">
            <w:pPr>
              <w:rPr>
                <w:rFonts w:ascii="宋体" w:hAnsi="宋体"/>
                <w:bCs/>
                <w:color w:val="auto"/>
                <w:sz w:val="18"/>
                <w:szCs w:val="18"/>
              </w:rPr>
            </w:pPr>
            <w:r>
              <w:rPr>
                <w:rFonts w:hint="eastAsia" w:ascii="宋体" w:hAnsi="宋体"/>
                <w:bCs/>
                <w:color w:val="auto"/>
                <w:sz w:val="18"/>
                <w:szCs w:val="18"/>
              </w:rPr>
              <w:t>合计</w:t>
            </w:r>
          </w:p>
        </w:tc>
        <w:tc>
          <w:tcPr>
            <w:tcW w:w="900" w:type="dxa"/>
            <w:tcBorders>
              <w:top w:val="single" w:color="auto" w:sz="2" w:space="0"/>
              <w:left w:val="single" w:color="auto" w:sz="2" w:space="0"/>
              <w:bottom w:val="nil"/>
              <w:right w:val="nil"/>
            </w:tcBorders>
            <w:noWrap w:val="0"/>
            <w:vAlign w:val="top"/>
          </w:tcPr>
          <w:p w14:paraId="1CE5B473">
            <w:pPr>
              <w:rPr>
                <w:rFonts w:ascii="宋体" w:hAnsi="宋体"/>
                <w:bCs/>
                <w:color w:val="auto"/>
                <w:sz w:val="18"/>
                <w:szCs w:val="18"/>
              </w:rPr>
            </w:pPr>
          </w:p>
        </w:tc>
        <w:tc>
          <w:tcPr>
            <w:tcW w:w="1518" w:type="dxa"/>
            <w:gridSpan w:val="2"/>
            <w:tcBorders>
              <w:top w:val="single" w:color="auto" w:sz="2" w:space="0"/>
              <w:left w:val="nil"/>
              <w:bottom w:val="nil"/>
              <w:right w:val="nil"/>
            </w:tcBorders>
            <w:noWrap w:val="0"/>
            <w:vAlign w:val="top"/>
          </w:tcPr>
          <w:p w14:paraId="0BAB9292">
            <w:pPr>
              <w:rPr>
                <w:rFonts w:ascii="宋体" w:hAnsi="宋体"/>
                <w:bCs/>
                <w:color w:val="auto"/>
                <w:sz w:val="18"/>
                <w:szCs w:val="18"/>
              </w:rPr>
            </w:pPr>
          </w:p>
        </w:tc>
        <w:tc>
          <w:tcPr>
            <w:tcW w:w="915" w:type="dxa"/>
            <w:tcBorders>
              <w:top w:val="single" w:color="auto" w:sz="2" w:space="0"/>
              <w:left w:val="nil"/>
              <w:bottom w:val="nil"/>
              <w:right w:val="nil"/>
            </w:tcBorders>
            <w:noWrap w:val="0"/>
            <w:vAlign w:val="top"/>
          </w:tcPr>
          <w:p w14:paraId="048248FF">
            <w:pPr>
              <w:rPr>
                <w:rFonts w:ascii="宋体" w:hAnsi="宋体"/>
                <w:bCs/>
                <w:color w:val="auto"/>
                <w:sz w:val="18"/>
                <w:szCs w:val="18"/>
              </w:rPr>
            </w:pPr>
          </w:p>
        </w:tc>
        <w:tc>
          <w:tcPr>
            <w:tcW w:w="645" w:type="dxa"/>
            <w:tcBorders>
              <w:top w:val="single" w:color="auto" w:sz="2" w:space="0"/>
              <w:left w:val="nil"/>
              <w:bottom w:val="nil"/>
              <w:right w:val="nil"/>
            </w:tcBorders>
            <w:noWrap w:val="0"/>
            <w:vAlign w:val="top"/>
          </w:tcPr>
          <w:p w14:paraId="1E9B7FF7">
            <w:pPr>
              <w:rPr>
                <w:rFonts w:ascii="宋体" w:hAnsi="宋体"/>
                <w:bCs/>
                <w:color w:val="auto"/>
                <w:sz w:val="18"/>
                <w:szCs w:val="18"/>
              </w:rPr>
            </w:pPr>
          </w:p>
        </w:tc>
        <w:tc>
          <w:tcPr>
            <w:tcW w:w="720" w:type="dxa"/>
            <w:tcBorders>
              <w:top w:val="single" w:color="auto" w:sz="2" w:space="0"/>
              <w:left w:val="nil"/>
              <w:bottom w:val="nil"/>
              <w:right w:val="nil"/>
            </w:tcBorders>
            <w:noWrap w:val="0"/>
            <w:vAlign w:val="top"/>
          </w:tcPr>
          <w:p w14:paraId="560B0634">
            <w:pPr>
              <w:rPr>
                <w:rFonts w:ascii="宋体" w:hAnsi="宋体"/>
                <w:bCs/>
                <w:color w:val="auto"/>
                <w:sz w:val="18"/>
                <w:szCs w:val="18"/>
              </w:rPr>
            </w:pPr>
          </w:p>
        </w:tc>
        <w:tc>
          <w:tcPr>
            <w:tcW w:w="630" w:type="dxa"/>
            <w:tcBorders>
              <w:top w:val="single" w:color="auto" w:sz="2" w:space="0"/>
              <w:left w:val="nil"/>
              <w:bottom w:val="nil"/>
              <w:right w:val="nil"/>
            </w:tcBorders>
            <w:noWrap w:val="0"/>
            <w:vAlign w:val="top"/>
          </w:tcPr>
          <w:p w14:paraId="64F60987">
            <w:pPr>
              <w:rPr>
                <w:rFonts w:ascii="宋体" w:hAnsi="宋体"/>
                <w:bCs/>
                <w:color w:val="auto"/>
                <w:sz w:val="18"/>
                <w:szCs w:val="18"/>
              </w:rPr>
            </w:pPr>
          </w:p>
        </w:tc>
        <w:tc>
          <w:tcPr>
            <w:tcW w:w="690" w:type="dxa"/>
            <w:tcBorders>
              <w:top w:val="single" w:color="auto" w:sz="2" w:space="0"/>
              <w:left w:val="nil"/>
              <w:bottom w:val="nil"/>
              <w:right w:val="nil"/>
            </w:tcBorders>
            <w:noWrap w:val="0"/>
            <w:vAlign w:val="top"/>
          </w:tcPr>
          <w:p w14:paraId="1CA651D2">
            <w:pPr>
              <w:rPr>
                <w:rFonts w:ascii="宋体" w:hAnsi="宋体"/>
                <w:bCs/>
                <w:color w:val="auto"/>
                <w:sz w:val="18"/>
                <w:szCs w:val="18"/>
              </w:rPr>
            </w:pPr>
          </w:p>
        </w:tc>
        <w:tc>
          <w:tcPr>
            <w:tcW w:w="810" w:type="dxa"/>
            <w:tcBorders>
              <w:top w:val="single" w:color="auto" w:sz="2" w:space="0"/>
              <w:left w:val="nil"/>
              <w:bottom w:val="nil"/>
              <w:right w:val="nil"/>
            </w:tcBorders>
            <w:noWrap w:val="0"/>
            <w:vAlign w:val="top"/>
          </w:tcPr>
          <w:p w14:paraId="02C470BD">
            <w:pPr>
              <w:rPr>
                <w:rFonts w:ascii="宋体" w:hAnsi="宋体"/>
                <w:b/>
                <w:bCs/>
                <w:color w:val="auto"/>
                <w:sz w:val="18"/>
                <w:szCs w:val="18"/>
                <w:shd w:val="pct10" w:color="auto" w:fill="FFFFFF"/>
              </w:rPr>
            </w:pPr>
          </w:p>
        </w:tc>
        <w:tc>
          <w:tcPr>
            <w:tcW w:w="885" w:type="dxa"/>
            <w:tcBorders>
              <w:top w:val="single" w:color="auto" w:sz="2" w:space="0"/>
              <w:left w:val="nil"/>
              <w:bottom w:val="nil"/>
              <w:right w:val="nil"/>
            </w:tcBorders>
            <w:noWrap w:val="0"/>
            <w:vAlign w:val="top"/>
          </w:tcPr>
          <w:p w14:paraId="6D0358CD">
            <w:pPr>
              <w:rPr>
                <w:rFonts w:ascii="宋体" w:hAnsi="宋体"/>
                <w:b/>
                <w:bCs/>
                <w:color w:val="auto"/>
                <w:sz w:val="18"/>
                <w:szCs w:val="18"/>
                <w:shd w:val="pct10" w:color="auto" w:fill="FFFFFF"/>
              </w:rPr>
            </w:pPr>
          </w:p>
        </w:tc>
        <w:tc>
          <w:tcPr>
            <w:tcW w:w="825" w:type="dxa"/>
            <w:tcBorders>
              <w:top w:val="single" w:color="auto" w:sz="2" w:space="0"/>
              <w:left w:val="nil"/>
              <w:bottom w:val="nil"/>
              <w:right w:val="nil"/>
            </w:tcBorders>
            <w:noWrap w:val="0"/>
            <w:vAlign w:val="top"/>
          </w:tcPr>
          <w:p w14:paraId="782047DA">
            <w:pPr>
              <w:rPr>
                <w:rFonts w:ascii="宋体" w:hAnsi="宋体"/>
                <w:b/>
                <w:bCs/>
                <w:color w:val="auto"/>
                <w:sz w:val="18"/>
                <w:szCs w:val="18"/>
                <w:shd w:val="pct10" w:color="auto" w:fill="FFFFFF"/>
              </w:rPr>
            </w:pPr>
          </w:p>
        </w:tc>
      </w:tr>
      <w:tr w14:paraId="5851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nil"/>
              <w:right w:val="single" w:color="auto" w:sz="2" w:space="0"/>
            </w:tcBorders>
            <w:noWrap w:val="0"/>
            <w:vAlign w:val="top"/>
          </w:tcPr>
          <w:p w14:paraId="0D22CC47">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nil"/>
              <w:right w:val="nil"/>
            </w:tcBorders>
            <w:noWrap w:val="0"/>
            <w:vAlign w:val="top"/>
          </w:tcPr>
          <w:p w14:paraId="5D1D5FC8">
            <w:pPr>
              <w:rPr>
                <w:rFonts w:ascii="宋体" w:hAnsi="宋体"/>
                <w:bCs/>
                <w:color w:val="auto"/>
                <w:sz w:val="18"/>
                <w:szCs w:val="18"/>
              </w:rPr>
            </w:pPr>
          </w:p>
        </w:tc>
        <w:tc>
          <w:tcPr>
            <w:tcW w:w="1518" w:type="dxa"/>
            <w:gridSpan w:val="2"/>
            <w:tcBorders>
              <w:top w:val="nil"/>
              <w:left w:val="nil"/>
              <w:bottom w:val="nil"/>
              <w:right w:val="nil"/>
            </w:tcBorders>
            <w:noWrap w:val="0"/>
            <w:vAlign w:val="top"/>
          </w:tcPr>
          <w:p w14:paraId="7CEE5D92">
            <w:pPr>
              <w:rPr>
                <w:rFonts w:ascii="宋体" w:hAnsi="宋体"/>
                <w:bCs/>
                <w:color w:val="auto"/>
                <w:sz w:val="18"/>
                <w:szCs w:val="18"/>
              </w:rPr>
            </w:pPr>
          </w:p>
        </w:tc>
        <w:tc>
          <w:tcPr>
            <w:tcW w:w="915" w:type="dxa"/>
            <w:tcBorders>
              <w:top w:val="nil"/>
              <w:left w:val="nil"/>
              <w:bottom w:val="nil"/>
              <w:right w:val="nil"/>
            </w:tcBorders>
            <w:noWrap w:val="0"/>
            <w:vAlign w:val="top"/>
          </w:tcPr>
          <w:p w14:paraId="58929003">
            <w:pPr>
              <w:rPr>
                <w:rFonts w:ascii="宋体" w:hAnsi="宋体"/>
                <w:bCs/>
                <w:color w:val="auto"/>
                <w:sz w:val="18"/>
                <w:szCs w:val="18"/>
              </w:rPr>
            </w:pPr>
          </w:p>
        </w:tc>
        <w:tc>
          <w:tcPr>
            <w:tcW w:w="645" w:type="dxa"/>
            <w:tcBorders>
              <w:top w:val="nil"/>
              <w:left w:val="nil"/>
              <w:bottom w:val="nil"/>
              <w:right w:val="nil"/>
            </w:tcBorders>
            <w:noWrap w:val="0"/>
            <w:vAlign w:val="top"/>
          </w:tcPr>
          <w:p w14:paraId="7541BEBA">
            <w:pPr>
              <w:rPr>
                <w:rFonts w:ascii="宋体" w:hAnsi="宋体"/>
                <w:bCs/>
                <w:color w:val="auto"/>
                <w:sz w:val="18"/>
                <w:szCs w:val="18"/>
              </w:rPr>
            </w:pPr>
          </w:p>
        </w:tc>
        <w:tc>
          <w:tcPr>
            <w:tcW w:w="720" w:type="dxa"/>
            <w:tcBorders>
              <w:top w:val="nil"/>
              <w:left w:val="nil"/>
              <w:bottom w:val="nil"/>
              <w:right w:val="nil"/>
            </w:tcBorders>
            <w:noWrap w:val="0"/>
            <w:vAlign w:val="top"/>
          </w:tcPr>
          <w:p w14:paraId="05B1A0A2">
            <w:pPr>
              <w:rPr>
                <w:rFonts w:ascii="宋体" w:hAnsi="宋体"/>
                <w:bCs/>
                <w:color w:val="auto"/>
                <w:sz w:val="18"/>
                <w:szCs w:val="18"/>
              </w:rPr>
            </w:pPr>
          </w:p>
        </w:tc>
        <w:tc>
          <w:tcPr>
            <w:tcW w:w="630" w:type="dxa"/>
            <w:tcBorders>
              <w:top w:val="nil"/>
              <w:left w:val="nil"/>
              <w:bottom w:val="nil"/>
              <w:right w:val="nil"/>
            </w:tcBorders>
            <w:noWrap w:val="0"/>
            <w:vAlign w:val="top"/>
          </w:tcPr>
          <w:p w14:paraId="75C83722">
            <w:pPr>
              <w:rPr>
                <w:rFonts w:ascii="宋体" w:hAnsi="宋体"/>
                <w:bCs/>
                <w:color w:val="auto"/>
                <w:sz w:val="18"/>
                <w:szCs w:val="18"/>
              </w:rPr>
            </w:pPr>
          </w:p>
        </w:tc>
        <w:tc>
          <w:tcPr>
            <w:tcW w:w="690" w:type="dxa"/>
            <w:tcBorders>
              <w:top w:val="nil"/>
              <w:left w:val="nil"/>
              <w:bottom w:val="nil"/>
              <w:right w:val="nil"/>
            </w:tcBorders>
            <w:noWrap w:val="0"/>
            <w:vAlign w:val="top"/>
          </w:tcPr>
          <w:p w14:paraId="06B4E851">
            <w:pPr>
              <w:rPr>
                <w:rFonts w:ascii="宋体" w:hAnsi="宋体"/>
                <w:bCs/>
                <w:color w:val="auto"/>
                <w:sz w:val="18"/>
                <w:szCs w:val="18"/>
              </w:rPr>
            </w:pPr>
          </w:p>
        </w:tc>
        <w:tc>
          <w:tcPr>
            <w:tcW w:w="810" w:type="dxa"/>
            <w:tcBorders>
              <w:top w:val="nil"/>
              <w:left w:val="nil"/>
              <w:bottom w:val="nil"/>
              <w:right w:val="nil"/>
            </w:tcBorders>
            <w:noWrap w:val="0"/>
            <w:vAlign w:val="top"/>
          </w:tcPr>
          <w:p w14:paraId="7D55C0F6">
            <w:pPr>
              <w:rPr>
                <w:rFonts w:ascii="宋体" w:hAnsi="宋体"/>
                <w:b/>
                <w:bCs/>
                <w:color w:val="auto"/>
                <w:sz w:val="18"/>
                <w:szCs w:val="18"/>
                <w:shd w:val="pct10" w:color="auto" w:fill="FFFFFF"/>
              </w:rPr>
            </w:pPr>
          </w:p>
        </w:tc>
        <w:tc>
          <w:tcPr>
            <w:tcW w:w="885" w:type="dxa"/>
            <w:tcBorders>
              <w:top w:val="nil"/>
              <w:left w:val="nil"/>
              <w:bottom w:val="nil"/>
              <w:right w:val="nil"/>
            </w:tcBorders>
            <w:noWrap w:val="0"/>
            <w:vAlign w:val="top"/>
          </w:tcPr>
          <w:p w14:paraId="2CC6CFDF">
            <w:pPr>
              <w:rPr>
                <w:rFonts w:ascii="宋体" w:hAnsi="宋体"/>
                <w:b/>
                <w:bCs/>
                <w:color w:val="auto"/>
                <w:sz w:val="18"/>
                <w:szCs w:val="18"/>
                <w:shd w:val="pct10" w:color="auto" w:fill="FFFFFF"/>
              </w:rPr>
            </w:pPr>
          </w:p>
        </w:tc>
        <w:tc>
          <w:tcPr>
            <w:tcW w:w="825" w:type="dxa"/>
            <w:tcBorders>
              <w:top w:val="nil"/>
              <w:left w:val="nil"/>
              <w:bottom w:val="nil"/>
              <w:right w:val="nil"/>
            </w:tcBorders>
            <w:noWrap w:val="0"/>
            <w:vAlign w:val="top"/>
          </w:tcPr>
          <w:p w14:paraId="193CEB4E">
            <w:pPr>
              <w:rPr>
                <w:rFonts w:ascii="宋体" w:hAnsi="宋体"/>
                <w:b/>
                <w:bCs/>
                <w:color w:val="auto"/>
                <w:sz w:val="18"/>
                <w:szCs w:val="18"/>
                <w:shd w:val="pct10" w:color="auto" w:fill="FFFFFF"/>
              </w:rPr>
            </w:pPr>
          </w:p>
        </w:tc>
      </w:tr>
      <w:tr w14:paraId="40B6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single" w:color="auto" w:sz="8" w:space="0"/>
              <w:right w:val="single" w:color="auto" w:sz="2" w:space="0"/>
            </w:tcBorders>
            <w:noWrap w:val="0"/>
            <w:vAlign w:val="top"/>
          </w:tcPr>
          <w:p w14:paraId="2C45BD5F">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single" w:color="auto" w:sz="8" w:space="0"/>
              <w:right w:val="nil"/>
            </w:tcBorders>
            <w:noWrap w:val="0"/>
            <w:vAlign w:val="top"/>
          </w:tcPr>
          <w:p w14:paraId="1C57D609">
            <w:pPr>
              <w:rPr>
                <w:rFonts w:ascii="宋体" w:hAnsi="宋体"/>
                <w:bCs/>
                <w:color w:val="auto"/>
                <w:sz w:val="18"/>
                <w:szCs w:val="18"/>
              </w:rPr>
            </w:pPr>
          </w:p>
        </w:tc>
        <w:tc>
          <w:tcPr>
            <w:tcW w:w="1518" w:type="dxa"/>
            <w:gridSpan w:val="2"/>
            <w:tcBorders>
              <w:top w:val="nil"/>
              <w:left w:val="nil"/>
              <w:bottom w:val="single" w:color="auto" w:sz="8" w:space="0"/>
              <w:right w:val="nil"/>
            </w:tcBorders>
            <w:noWrap w:val="0"/>
            <w:vAlign w:val="top"/>
          </w:tcPr>
          <w:p w14:paraId="0CE70832">
            <w:pPr>
              <w:rPr>
                <w:rFonts w:ascii="宋体" w:hAnsi="宋体"/>
                <w:bCs/>
                <w:color w:val="auto"/>
                <w:sz w:val="18"/>
                <w:szCs w:val="18"/>
              </w:rPr>
            </w:pPr>
          </w:p>
        </w:tc>
        <w:tc>
          <w:tcPr>
            <w:tcW w:w="915" w:type="dxa"/>
            <w:tcBorders>
              <w:top w:val="nil"/>
              <w:left w:val="nil"/>
              <w:bottom w:val="single" w:color="auto" w:sz="8" w:space="0"/>
              <w:right w:val="nil"/>
            </w:tcBorders>
            <w:noWrap w:val="0"/>
            <w:vAlign w:val="top"/>
          </w:tcPr>
          <w:p w14:paraId="54355BCD">
            <w:pPr>
              <w:rPr>
                <w:rFonts w:ascii="宋体" w:hAnsi="宋体"/>
                <w:bCs/>
                <w:color w:val="auto"/>
                <w:sz w:val="18"/>
                <w:szCs w:val="18"/>
              </w:rPr>
            </w:pPr>
          </w:p>
        </w:tc>
        <w:tc>
          <w:tcPr>
            <w:tcW w:w="645" w:type="dxa"/>
            <w:tcBorders>
              <w:top w:val="nil"/>
              <w:left w:val="nil"/>
              <w:bottom w:val="single" w:color="auto" w:sz="8" w:space="0"/>
              <w:right w:val="nil"/>
            </w:tcBorders>
            <w:noWrap w:val="0"/>
            <w:vAlign w:val="top"/>
          </w:tcPr>
          <w:p w14:paraId="6F316F55">
            <w:pPr>
              <w:rPr>
                <w:rFonts w:ascii="宋体" w:hAnsi="宋体"/>
                <w:bCs/>
                <w:color w:val="auto"/>
                <w:sz w:val="18"/>
                <w:szCs w:val="18"/>
              </w:rPr>
            </w:pPr>
          </w:p>
        </w:tc>
        <w:tc>
          <w:tcPr>
            <w:tcW w:w="720" w:type="dxa"/>
            <w:tcBorders>
              <w:top w:val="nil"/>
              <w:left w:val="nil"/>
              <w:bottom w:val="single" w:color="auto" w:sz="8" w:space="0"/>
              <w:right w:val="nil"/>
            </w:tcBorders>
            <w:noWrap w:val="0"/>
            <w:vAlign w:val="top"/>
          </w:tcPr>
          <w:p w14:paraId="6BF0E193">
            <w:pPr>
              <w:rPr>
                <w:rFonts w:ascii="宋体" w:hAnsi="宋体"/>
                <w:bCs/>
                <w:color w:val="auto"/>
                <w:sz w:val="18"/>
                <w:szCs w:val="18"/>
              </w:rPr>
            </w:pPr>
          </w:p>
        </w:tc>
        <w:tc>
          <w:tcPr>
            <w:tcW w:w="630" w:type="dxa"/>
            <w:tcBorders>
              <w:top w:val="nil"/>
              <w:left w:val="nil"/>
              <w:bottom w:val="single" w:color="auto" w:sz="8" w:space="0"/>
              <w:right w:val="nil"/>
            </w:tcBorders>
            <w:noWrap w:val="0"/>
            <w:vAlign w:val="top"/>
          </w:tcPr>
          <w:p w14:paraId="4A2671EA">
            <w:pPr>
              <w:rPr>
                <w:rFonts w:ascii="宋体" w:hAnsi="宋体"/>
                <w:bCs/>
                <w:color w:val="auto"/>
                <w:sz w:val="18"/>
                <w:szCs w:val="18"/>
              </w:rPr>
            </w:pPr>
          </w:p>
        </w:tc>
        <w:tc>
          <w:tcPr>
            <w:tcW w:w="690" w:type="dxa"/>
            <w:tcBorders>
              <w:top w:val="nil"/>
              <w:left w:val="nil"/>
              <w:bottom w:val="single" w:color="auto" w:sz="8" w:space="0"/>
              <w:right w:val="nil"/>
            </w:tcBorders>
            <w:noWrap w:val="0"/>
            <w:vAlign w:val="top"/>
          </w:tcPr>
          <w:p w14:paraId="2AB11B46">
            <w:pPr>
              <w:rPr>
                <w:rFonts w:ascii="宋体" w:hAnsi="宋体"/>
                <w:bCs/>
                <w:color w:val="auto"/>
                <w:sz w:val="18"/>
                <w:szCs w:val="18"/>
              </w:rPr>
            </w:pPr>
          </w:p>
        </w:tc>
        <w:tc>
          <w:tcPr>
            <w:tcW w:w="810" w:type="dxa"/>
            <w:tcBorders>
              <w:top w:val="nil"/>
              <w:left w:val="nil"/>
              <w:bottom w:val="single" w:color="auto" w:sz="8" w:space="0"/>
              <w:right w:val="nil"/>
            </w:tcBorders>
            <w:noWrap w:val="0"/>
            <w:vAlign w:val="top"/>
          </w:tcPr>
          <w:p w14:paraId="0449A457">
            <w:pPr>
              <w:rPr>
                <w:rFonts w:ascii="宋体" w:hAnsi="宋体"/>
                <w:b/>
                <w:bCs/>
                <w:color w:val="auto"/>
                <w:sz w:val="18"/>
                <w:szCs w:val="18"/>
                <w:shd w:val="pct10" w:color="auto" w:fill="FFFFFF"/>
              </w:rPr>
            </w:pPr>
          </w:p>
        </w:tc>
        <w:tc>
          <w:tcPr>
            <w:tcW w:w="885" w:type="dxa"/>
            <w:tcBorders>
              <w:top w:val="nil"/>
              <w:left w:val="nil"/>
              <w:bottom w:val="single" w:color="auto" w:sz="8" w:space="0"/>
              <w:right w:val="nil"/>
            </w:tcBorders>
            <w:noWrap w:val="0"/>
            <w:vAlign w:val="top"/>
          </w:tcPr>
          <w:p w14:paraId="3D479125">
            <w:pPr>
              <w:rPr>
                <w:rFonts w:ascii="宋体" w:hAnsi="宋体"/>
                <w:b/>
                <w:bCs/>
                <w:color w:val="auto"/>
                <w:sz w:val="18"/>
                <w:szCs w:val="18"/>
                <w:shd w:val="pct10" w:color="auto" w:fill="FFFFFF"/>
              </w:rPr>
            </w:pPr>
          </w:p>
        </w:tc>
        <w:tc>
          <w:tcPr>
            <w:tcW w:w="825" w:type="dxa"/>
            <w:tcBorders>
              <w:top w:val="nil"/>
              <w:left w:val="nil"/>
              <w:bottom w:val="single" w:color="auto" w:sz="8" w:space="0"/>
              <w:right w:val="nil"/>
            </w:tcBorders>
            <w:noWrap w:val="0"/>
            <w:vAlign w:val="top"/>
          </w:tcPr>
          <w:p w14:paraId="137A8673">
            <w:pPr>
              <w:rPr>
                <w:rFonts w:ascii="宋体" w:hAnsi="宋体"/>
                <w:b/>
                <w:bCs/>
                <w:color w:val="auto"/>
                <w:sz w:val="18"/>
                <w:szCs w:val="18"/>
                <w:shd w:val="pct10" w:color="auto" w:fill="FFFFFF"/>
              </w:rPr>
            </w:pPr>
          </w:p>
        </w:tc>
      </w:tr>
    </w:tbl>
    <w:p w14:paraId="362A41E3">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18556E32">
      <w:pPr>
        <w:rPr>
          <w:rFonts w:ascii="宋体" w:hAnsi="宋体"/>
          <w:bCs/>
          <w:color w:val="auto"/>
          <w:sz w:val="18"/>
          <w:szCs w:val="18"/>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份</w:t>
      </w:r>
      <w:r>
        <w:rPr>
          <w:rFonts w:hint="eastAsia" w:ascii="宋体" w:hAnsi="宋体"/>
          <w:bCs/>
          <w:color w:val="auto"/>
          <w:sz w:val="18"/>
          <w:szCs w:val="18"/>
        </w:rPr>
        <w:t>企业对外承包工程</w:t>
      </w:r>
      <w:r>
        <w:rPr>
          <w:rFonts w:hint="eastAsia" w:ascii="宋体" w:hAnsi="宋体"/>
          <w:bCs/>
          <w:color w:val="auto"/>
          <w:sz w:val="18"/>
          <w:szCs w:val="18"/>
          <w:lang w:eastAsia="zh-CN"/>
        </w:rPr>
        <w:t>总包</w:t>
      </w:r>
      <w:r>
        <w:rPr>
          <w:rFonts w:hint="eastAsia" w:ascii="宋体" w:hAnsi="宋体"/>
          <w:bCs/>
          <w:color w:val="auto"/>
          <w:sz w:val="18"/>
          <w:szCs w:val="18"/>
        </w:rPr>
        <w:t>项目的</w:t>
      </w:r>
      <w:r>
        <w:rPr>
          <w:rFonts w:hint="eastAsia" w:ascii="宋体" w:hAnsi="宋体"/>
          <w:bCs/>
          <w:color w:val="auto"/>
          <w:sz w:val="18"/>
          <w:szCs w:val="18"/>
          <w:lang w:eastAsia="zh-CN"/>
        </w:rPr>
        <w:t>进展</w:t>
      </w:r>
      <w:r>
        <w:rPr>
          <w:rFonts w:hint="eastAsia" w:ascii="宋体" w:hAnsi="宋体"/>
          <w:bCs/>
          <w:color w:val="auto"/>
          <w:sz w:val="18"/>
          <w:szCs w:val="18"/>
        </w:rPr>
        <w:t>情况。</w:t>
      </w:r>
    </w:p>
    <w:p w14:paraId="7D543360">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对外承包工程总包项目签约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境外中资企业承揽的承包工程项目由境内投资企业填报。</w:t>
      </w:r>
    </w:p>
    <w:p w14:paraId="28809100">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lang w:eastAsia="zh-CN"/>
        </w:rPr>
        <w:t>项目状态：包括进行中、暂停（</w:t>
      </w:r>
      <w:r>
        <w:rPr>
          <w:rFonts w:hint="eastAsia" w:ascii="宋体" w:hAnsi="宋体"/>
          <w:bCs/>
          <w:color w:val="auto"/>
          <w:sz w:val="18"/>
          <w:szCs w:val="18"/>
          <w:highlight w:val="none"/>
          <w:lang w:eastAsia="zh-CN"/>
        </w:rPr>
        <w:t>需在统计系统中</w:t>
      </w:r>
      <w:r>
        <w:rPr>
          <w:rFonts w:hint="eastAsia" w:ascii="宋体" w:hAnsi="宋体"/>
          <w:bCs/>
          <w:color w:val="auto"/>
          <w:sz w:val="18"/>
          <w:szCs w:val="18"/>
          <w:lang w:eastAsia="zh-CN"/>
        </w:rPr>
        <w:t>简要备注原因）、质保期、已完工。</w:t>
      </w:r>
    </w:p>
    <w:p w14:paraId="3593A29E">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w:t>
      </w:r>
      <w:r>
        <w:rPr>
          <w:rFonts w:hint="eastAsia" w:ascii="宋体" w:hAnsi="宋体"/>
          <w:bCs/>
          <w:color w:val="auto"/>
          <w:sz w:val="18"/>
          <w:szCs w:val="18"/>
          <w:lang w:eastAsia="zh-CN"/>
        </w:rPr>
        <w:t>新签合同额与完成营业额分别按对应的口径填报，非分包部分完成营业额</w:t>
      </w:r>
      <w:r>
        <w:rPr>
          <w:rFonts w:hint="eastAsia" w:ascii="宋体" w:hAnsi="宋体"/>
          <w:bCs/>
          <w:color w:val="auto"/>
          <w:sz w:val="18"/>
          <w:szCs w:val="18"/>
          <w:lang w:val="en-US" w:eastAsia="zh-CN"/>
        </w:rPr>
        <w:t>指报告期项目完成营业额中扣除项目分包单位完成营业额后的金额。如包含“设计咨询”业务内容，需在统计系统内分别填报其中“设计咨询”部分的金额。</w:t>
      </w:r>
    </w:p>
    <w:p w14:paraId="35369EC6">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5.本表</w:t>
      </w:r>
      <w:r>
        <w:rPr>
          <w:rFonts w:hint="eastAsia" w:ascii="宋体" w:hAnsi="宋体"/>
          <w:bCs/>
          <w:color w:val="auto"/>
          <w:sz w:val="18"/>
          <w:szCs w:val="18"/>
        </w:rPr>
        <w:t>外派人数</w:t>
      </w:r>
      <w:r>
        <w:rPr>
          <w:rFonts w:hint="eastAsia" w:ascii="宋体" w:hAnsi="宋体"/>
          <w:bCs/>
          <w:color w:val="auto"/>
          <w:sz w:val="18"/>
          <w:szCs w:val="18"/>
          <w:lang w:eastAsia="zh-CN"/>
        </w:rPr>
        <w:t>、</w:t>
      </w:r>
      <w:r>
        <w:rPr>
          <w:rFonts w:hint="eastAsia" w:ascii="宋体" w:hAnsi="宋体"/>
          <w:bCs/>
          <w:color w:val="auto"/>
          <w:sz w:val="18"/>
          <w:szCs w:val="18"/>
        </w:rPr>
        <w:t>月末在外人数</w:t>
      </w:r>
      <w:r>
        <w:rPr>
          <w:rFonts w:hint="eastAsia" w:ascii="宋体" w:hAnsi="宋体"/>
          <w:bCs/>
          <w:color w:val="auto"/>
          <w:sz w:val="18"/>
          <w:szCs w:val="18"/>
          <w:lang w:eastAsia="zh-CN"/>
        </w:rPr>
        <w:t>、</w:t>
      </w: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r>
        <w:rPr>
          <w:rFonts w:hint="eastAsia" w:ascii="宋体" w:hAnsi="宋体"/>
          <w:bCs/>
          <w:color w:val="auto"/>
          <w:sz w:val="18"/>
          <w:szCs w:val="18"/>
          <w:lang w:eastAsia="zh-CN"/>
        </w:rPr>
        <w:t>、</w:t>
      </w:r>
      <w:r>
        <w:rPr>
          <w:rFonts w:hint="eastAsia" w:ascii="宋体" w:hAnsi="宋体"/>
          <w:bCs/>
          <w:color w:val="auto"/>
          <w:sz w:val="18"/>
          <w:szCs w:val="18"/>
        </w:rPr>
        <w:t>月末雇用第三国人员数量</w:t>
      </w:r>
      <w:r>
        <w:rPr>
          <w:rFonts w:hint="eastAsia" w:ascii="宋体" w:hAnsi="宋体"/>
          <w:bCs/>
          <w:color w:val="auto"/>
          <w:sz w:val="18"/>
          <w:szCs w:val="18"/>
          <w:lang w:eastAsia="zh-CN"/>
        </w:rPr>
        <w:t>按扣除分包单位相关数量计算。</w:t>
      </w:r>
    </w:p>
    <w:p w14:paraId="46F80C0E">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6.月末待执行合同余额=项目新签合同额累计-完成营业额历史累计，该指标由系统根据企业历史填报数据自动生成。</w:t>
      </w:r>
    </w:p>
    <w:p w14:paraId="34C4AC87">
      <w:pPr>
        <w:rPr>
          <w:rFonts w:hint="default"/>
          <w:color w:val="auto"/>
          <w:lang w:val="en-US" w:eastAsia="zh-CN"/>
        </w:rPr>
      </w:pPr>
    </w:p>
    <w:p w14:paraId="2D2750AE">
      <w:pPr>
        <w:rPr>
          <w:rFonts w:hint="default"/>
          <w:color w:val="auto"/>
          <w:lang w:val="en-US" w:eastAsia="zh-CN"/>
        </w:rPr>
      </w:pPr>
    </w:p>
    <w:p w14:paraId="0905E4DB">
      <w:pPr>
        <w:rPr>
          <w:rFonts w:hint="default"/>
          <w:color w:val="auto"/>
          <w:lang w:val="en-US" w:eastAsia="zh-CN"/>
        </w:rPr>
      </w:pPr>
    </w:p>
    <w:p w14:paraId="672DA5FD">
      <w:pPr>
        <w:jc w:val="center"/>
        <w:outlineLvl w:val="1"/>
        <w:rPr>
          <w:rFonts w:hint="eastAsia" w:ascii="宋体" w:hAnsi="宋体" w:eastAsia="宋体"/>
          <w:b/>
          <w:color w:val="auto"/>
          <w:sz w:val="32"/>
          <w:szCs w:val="32"/>
          <w:lang w:eastAsia="zh-CN"/>
        </w:rPr>
      </w:pPr>
      <w:bookmarkStart w:id="20" w:name="_Toc2079288351"/>
      <w:r>
        <w:rPr>
          <w:rFonts w:hint="eastAsia" w:ascii="宋体" w:hAnsi="宋体"/>
          <w:b/>
          <w:color w:val="auto"/>
          <w:sz w:val="32"/>
          <w:szCs w:val="32"/>
        </w:rPr>
        <w:br w:type="page"/>
      </w:r>
      <w:bookmarkStart w:id="21" w:name="_Toc626785658"/>
      <w:r>
        <w:rPr>
          <w:rFonts w:hint="eastAsia" w:ascii="宋体" w:hAnsi="宋体"/>
          <w:b w:val="0"/>
          <w:bCs/>
          <w:color w:val="auto"/>
          <w:sz w:val="32"/>
          <w:szCs w:val="32"/>
        </w:rPr>
        <w:t>对外承包工程</w:t>
      </w:r>
      <w:r>
        <w:rPr>
          <w:rFonts w:hint="eastAsia" w:ascii="宋体" w:hAnsi="宋体"/>
          <w:b w:val="0"/>
          <w:bCs/>
          <w:color w:val="auto"/>
          <w:sz w:val="32"/>
          <w:szCs w:val="32"/>
          <w:lang w:eastAsia="zh-CN"/>
        </w:rPr>
        <w:t>分包</w:t>
      </w:r>
      <w:r>
        <w:rPr>
          <w:rFonts w:hint="eastAsia" w:ascii="宋体" w:hAnsi="宋体"/>
          <w:b w:val="0"/>
          <w:bCs/>
          <w:color w:val="auto"/>
          <w:sz w:val="32"/>
          <w:szCs w:val="32"/>
        </w:rPr>
        <w:t>项目</w:t>
      </w:r>
      <w:r>
        <w:rPr>
          <w:rFonts w:hint="eastAsia" w:ascii="宋体" w:hAnsi="宋体"/>
          <w:b w:val="0"/>
          <w:bCs/>
          <w:color w:val="auto"/>
          <w:sz w:val="32"/>
          <w:szCs w:val="32"/>
          <w:lang w:eastAsia="zh-CN"/>
        </w:rPr>
        <w:t>完成情况</w:t>
      </w:r>
      <w:bookmarkEnd w:id="20"/>
      <w:bookmarkEnd w:id="21"/>
    </w:p>
    <w:p w14:paraId="02D91407">
      <w:pPr>
        <w:ind w:right="720" w:firstLine="5850" w:firstLineChars="3250"/>
        <w:rPr>
          <w:rFonts w:ascii="宋体" w:hAnsi="宋体"/>
          <w:bCs/>
          <w:color w:val="auto"/>
          <w:sz w:val="18"/>
          <w:szCs w:val="18"/>
        </w:rPr>
      </w:pPr>
    </w:p>
    <w:tbl>
      <w:tblPr>
        <w:tblStyle w:val="11"/>
        <w:tblW w:w="9813" w:type="dxa"/>
        <w:tblInd w:w="93" w:type="dxa"/>
        <w:tblLayout w:type="fixed"/>
        <w:tblCellMar>
          <w:top w:w="0" w:type="dxa"/>
          <w:left w:w="108" w:type="dxa"/>
          <w:bottom w:w="0" w:type="dxa"/>
          <w:right w:w="108" w:type="dxa"/>
        </w:tblCellMar>
      </w:tblPr>
      <w:tblGrid>
        <w:gridCol w:w="5840"/>
        <w:gridCol w:w="3973"/>
      </w:tblGrid>
      <w:tr w14:paraId="57172DFF">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4BF0C56">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1331B8BB">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4</w:t>
            </w:r>
          </w:p>
        </w:tc>
      </w:tr>
      <w:tr w14:paraId="55D339C5">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37BD045">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26D891D9">
            <w:pPr>
              <w:widowControl/>
              <w:jc w:val="left"/>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6FC28ABF">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63ED80B9">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44B4DF3C">
            <w:pPr>
              <w:widowControl/>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42153A1F">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0BD6D20">
            <w:pPr>
              <w:widowControl/>
              <w:jc w:val="left"/>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973" w:type="dxa"/>
            <w:tcBorders>
              <w:top w:val="nil"/>
              <w:left w:val="nil"/>
              <w:bottom w:val="nil"/>
              <w:right w:val="nil"/>
            </w:tcBorders>
            <w:noWrap w:val="0"/>
            <w:vAlign w:val="center"/>
          </w:tcPr>
          <w:p w14:paraId="72621653">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0CD2C684">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72EF8F02">
            <w:pPr>
              <w:widowControl/>
              <w:jc w:val="left"/>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973" w:type="dxa"/>
            <w:tcBorders>
              <w:top w:val="nil"/>
              <w:left w:val="nil"/>
              <w:bottom w:val="nil"/>
              <w:right w:val="nil"/>
            </w:tcBorders>
            <w:noWrap w:val="0"/>
            <w:vAlign w:val="center"/>
          </w:tcPr>
          <w:p w14:paraId="1A2747F4">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5156BDF6">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7EC1565E">
            <w:pPr>
              <w:widowControl/>
              <w:jc w:val="left"/>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973" w:type="dxa"/>
            <w:tcBorders>
              <w:top w:val="nil"/>
              <w:left w:val="nil"/>
              <w:bottom w:val="nil"/>
              <w:right w:val="nil"/>
            </w:tcBorders>
            <w:noWrap w:val="0"/>
            <w:vAlign w:val="bottom"/>
          </w:tcPr>
          <w:p w14:paraId="0C9BEE7C">
            <w:pPr>
              <w:widowControl/>
              <w:jc w:val="left"/>
              <w:rPr>
                <w:rFonts w:ascii="宋体" w:hAnsi="宋体" w:cs="宋体"/>
                <w:color w:val="auto"/>
                <w:kern w:val="0"/>
                <w:sz w:val="18"/>
                <w:szCs w:val="18"/>
              </w:rPr>
            </w:pPr>
            <w:r>
              <w:rPr>
                <w:rFonts w:hint="eastAsia" w:ascii="宋体" w:hAnsi="宋体" w:cs="宋体"/>
                <w:color w:val="auto"/>
                <w:kern w:val="0"/>
                <w:sz w:val="18"/>
                <w:szCs w:val="18"/>
              </w:rPr>
              <w:t>计量单位：万美元、人</w:t>
            </w:r>
          </w:p>
        </w:tc>
      </w:tr>
    </w:tbl>
    <w:p w14:paraId="17A5B29E">
      <w:pPr>
        <w:ind w:right="-180"/>
        <w:jc w:val="center"/>
        <w:rPr>
          <w:rFonts w:ascii="宋体" w:hAnsi="宋体"/>
          <w:bCs/>
          <w:color w:val="auto"/>
          <w:sz w:val="18"/>
          <w:szCs w:val="18"/>
        </w:rPr>
      </w:pPr>
      <w:r>
        <w:rPr>
          <w:rFonts w:hint="eastAsia" w:ascii="宋体" w:hAnsi="宋体"/>
          <w:bCs/>
          <w:color w:val="auto"/>
          <w:sz w:val="18"/>
          <w:szCs w:val="18"/>
        </w:rPr>
        <w:t>年         月</w:t>
      </w:r>
    </w:p>
    <w:tbl>
      <w:tblPr>
        <w:tblStyle w:val="11"/>
        <w:tblW w:w="99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1113"/>
        <w:gridCol w:w="1440"/>
        <w:gridCol w:w="990"/>
        <w:gridCol w:w="1110"/>
        <w:gridCol w:w="1275"/>
        <w:gridCol w:w="1710"/>
      </w:tblGrid>
      <w:tr w14:paraId="58A7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368" w:type="dxa"/>
            <w:tcBorders>
              <w:top w:val="single" w:color="auto" w:sz="8" w:space="0"/>
              <w:left w:val="nil"/>
              <w:bottom w:val="single" w:color="auto" w:sz="2" w:space="0"/>
              <w:right w:val="single" w:color="auto" w:sz="2" w:space="0"/>
              <w:tl2br w:val="single" w:color="auto" w:sz="2" w:space="0"/>
            </w:tcBorders>
            <w:noWrap w:val="0"/>
            <w:vAlign w:val="top"/>
          </w:tcPr>
          <w:p w14:paraId="103FECD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p w14:paraId="735309F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3676020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p w14:paraId="7D4F28E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hAnsi="宋体"/>
                <w:bCs/>
                <w:color w:val="auto"/>
                <w:sz w:val="18"/>
                <w:szCs w:val="18"/>
              </w:rPr>
            </w:pPr>
            <w:r>
              <w:rPr>
                <w:rFonts w:hint="eastAsia" w:ascii="宋体" w:hAnsi="宋体"/>
                <w:bCs/>
                <w:color w:val="auto"/>
                <w:sz w:val="18"/>
                <w:szCs w:val="18"/>
              </w:rPr>
              <w:t>项目</w:t>
            </w:r>
          </w:p>
        </w:tc>
        <w:tc>
          <w:tcPr>
            <w:tcW w:w="900" w:type="dxa"/>
            <w:tcBorders>
              <w:top w:val="single" w:color="auto" w:sz="8" w:space="0"/>
              <w:left w:val="single" w:color="auto" w:sz="2" w:space="0"/>
              <w:bottom w:val="single" w:color="auto" w:sz="2" w:space="0"/>
              <w:right w:val="single" w:color="auto" w:sz="2" w:space="0"/>
            </w:tcBorders>
            <w:noWrap w:val="0"/>
            <w:vAlign w:val="center"/>
          </w:tcPr>
          <w:p w14:paraId="12FF63A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113" w:type="dxa"/>
            <w:tcBorders>
              <w:top w:val="single" w:color="auto" w:sz="8" w:space="0"/>
              <w:left w:val="single" w:color="auto" w:sz="2" w:space="0"/>
              <w:bottom w:val="single" w:color="auto" w:sz="2" w:space="0"/>
              <w:right w:val="single" w:color="auto" w:sz="2" w:space="0"/>
            </w:tcBorders>
            <w:noWrap w:val="0"/>
            <w:vAlign w:val="center"/>
          </w:tcPr>
          <w:p w14:paraId="702C235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项目状态</w:t>
            </w:r>
          </w:p>
        </w:tc>
        <w:tc>
          <w:tcPr>
            <w:tcW w:w="1440" w:type="dxa"/>
            <w:tcBorders>
              <w:top w:val="single" w:color="auto" w:sz="8" w:space="0"/>
              <w:left w:val="single" w:color="auto" w:sz="2" w:space="0"/>
              <w:bottom w:val="single" w:color="auto" w:sz="2" w:space="0"/>
              <w:right w:val="single" w:color="auto" w:sz="2" w:space="0"/>
            </w:tcBorders>
            <w:noWrap w:val="0"/>
            <w:vAlign w:val="center"/>
          </w:tcPr>
          <w:p w14:paraId="69A369C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完成营业额</w:t>
            </w:r>
          </w:p>
        </w:tc>
        <w:tc>
          <w:tcPr>
            <w:tcW w:w="990" w:type="dxa"/>
            <w:tcBorders>
              <w:top w:val="single" w:color="auto" w:sz="8" w:space="0"/>
              <w:left w:val="single" w:color="auto" w:sz="2" w:space="0"/>
              <w:bottom w:val="single" w:color="auto" w:sz="2" w:space="0"/>
              <w:right w:val="single" w:color="auto" w:sz="2" w:space="0"/>
            </w:tcBorders>
            <w:noWrap w:val="0"/>
            <w:vAlign w:val="center"/>
          </w:tcPr>
          <w:p w14:paraId="6E9D911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外派人数</w:t>
            </w:r>
          </w:p>
        </w:tc>
        <w:tc>
          <w:tcPr>
            <w:tcW w:w="1110" w:type="dxa"/>
            <w:tcBorders>
              <w:top w:val="single" w:color="auto" w:sz="8" w:space="0"/>
              <w:left w:val="single" w:color="auto" w:sz="2" w:space="0"/>
              <w:bottom w:val="single" w:color="auto" w:sz="2" w:space="0"/>
              <w:right w:val="single" w:color="auto" w:sz="2" w:space="0"/>
            </w:tcBorders>
            <w:noWrap w:val="0"/>
            <w:vAlign w:val="center"/>
          </w:tcPr>
          <w:p w14:paraId="4DF050D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月末在外人数</w:t>
            </w:r>
          </w:p>
        </w:tc>
        <w:tc>
          <w:tcPr>
            <w:tcW w:w="1275" w:type="dxa"/>
            <w:tcBorders>
              <w:top w:val="single" w:color="auto" w:sz="8" w:space="0"/>
              <w:left w:val="single" w:color="auto" w:sz="2" w:space="0"/>
              <w:bottom w:val="single" w:color="auto" w:sz="2" w:space="0"/>
              <w:right w:val="single" w:color="auto" w:sz="2" w:space="0"/>
            </w:tcBorders>
            <w:noWrap w:val="0"/>
            <w:vAlign w:val="center"/>
          </w:tcPr>
          <w:p w14:paraId="67869E4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p>
        </w:tc>
        <w:tc>
          <w:tcPr>
            <w:tcW w:w="1710" w:type="dxa"/>
            <w:tcBorders>
              <w:top w:val="single" w:color="auto" w:sz="8" w:space="0"/>
              <w:left w:val="single" w:color="auto" w:sz="2" w:space="0"/>
              <w:bottom w:val="single" w:color="auto" w:sz="2" w:space="0"/>
              <w:right w:val="nil"/>
            </w:tcBorders>
            <w:noWrap w:val="0"/>
            <w:vAlign w:val="center"/>
          </w:tcPr>
          <w:p w14:paraId="71144D4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月末雇用第三国人员数量</w:t>
            </w:r>
          </w:p>
        </w:tc>
      </w:tr>
      <w:tr w14:paraId="21D4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68" w:type="dxa"/>
            <w:tcBorders>
              <w:top w:val="single" w:color="auto" w:sz="2" w:space="0"/>
              <w:left w:val="nil"/>
              <w:bottom w:val="single" w:color="auto" w:sz="2" w:space="0"/>
              <w:right w:val="single" w:color="auto" w:sz="2" w:space="0"/>
            </w:tcBorders>
            <w:noWrap w:val="0"/>
            <w:vAlign w:val="top"/>
          </w:tcPr>
          <w:p w14:paraId="3F1692F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900" w:type="dxa"/>
            <w:tcBorders>
              <w:top w:val="single" w:color="auto" w:sz="2" w:space="0"/>
              <w:left w:val="single" w:color="auto" w:sz="2" w:space="0"/>
              <w:bottom w:val="single" w:color="auto" w:sz="2" w:space="0"/>
              <w:right w:val="single" w:color="auto" w:sz="2" w:space="0"/>
            </w:tcBorders>
            <w:noWrap w:val="0"/>
            <w:vAlign w:val="top"/>
          </w:tcPr>
          <w:p w14:paraId="560B79A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113" w:type="dxa"/>
            <w:tcBorders>
              <w:top w:val="single" w:color="auto" w:sz="2" w:space="0"/>
              <w:left w:val="single" w:color="auto" w:sz="2" w:space="0"/>
              <w:bottom w:val="single" w:color="auto" w:sz="2" w:space="0"/>
              <w:right w:val="single" w:color="auto" w:sz="2" w:space="0"/>
            </w:tcBorders>
            <w:noWrap w:val="0"/>
            <w:vAlign w:val="top"/>
          </w:tcPr>
          <w:p w14:paraId="0FAF05A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丙</w:t>
            </w:r>
          </w:p>
        </w:tc>
        <w:tc>
          <w:tcPr>
            <w:tcW w:w="1440" w:type="dxa"/>
            <w:tcBorders>
              <w:top w:val="single" w:color="auto" w:sz="2" w:space="0"/>
              <w:left w:val="single" w:color="auto" w:sz="2" w:space="0"/>
              <w:bottom w:val="single" w:color="auto" w:sz="2" w:space="0"/>
              <w:right w:val="single" w:color="auto" w:sz="2" w:space="0"/>
            </w:tcBorders>
            <w:noWrap w:val="0"/>
            <w:vAlign w:val="top"/>
          </w:tcPr>
          <w:p w14:paraId="4AFF3ED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1</w:t>
            </w:r>
          </w:p>
        </w:tc>
        <w:tc>
          <w:tcPr>
            <w:tcW w:w="990" w:type="dxa"/>
            <w:tcBorders>
              <w:top w:val="single" w:color="auto" w:sz="2" w:space="0"/>
              <w:left w:val="single" w:color="auto" w:sz="2" w:space="0"/>
              <w:bottom w:val="single" w:color="auto" w:sz="2" w:space="0"/>
              <w:right w:val="single" w:color="auto" w:sz="2" w:space="0"/>
            </w:tcBorders>
            <w:noWrap w:val="0"/>
            <w:vAlign w:val="top"/>
          </w:tcPr>
          <w:p w14:paraId="39B0263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2</w:t>
            </w:r>
          </w:p>
        </w:tc>
        <w:tc>
          <w:tcPr>
            <w:tcW w:w="1110" w:type="dxa"/>
            <w:tcBorders>
              <w:top w:val="single" w:color="auto" w:sz="2" w:space="0"/>
              <w:left w:val="single" w:color="auto" w:sz="2" w:space="0"/>
              <w:bottom w:val="single" w:color="auto" w:sz="2" w:space="0"/>
              <w:right w:val="single" w:color="auto" w:sz="2" w:space="0"/>
            </w:tcBorders>
            <w:noWrap w:val="0"/>
            <w:vAlign w:val="top"/>
          </w:tcPr>
          <w:p w14:paraId="6712F36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3</w:t>
            </w:r>
          </w:p>
        </w:tc>
        <w:tc>
          <w:tcPr>
            <w:tcW w:w="1275" w:type="dxa"/>
            <w:tcBorders>
              <w:top w:val="single" w:color="auto" w:sz="2" w:space="0"/>
              <w:left w:val="single" w:color="auto" w:sz="2" w:space="0"/>
              <w:bottom w:val="single" w:color="auto" w:sz="2" w:space="0"/>
              <w:right w:val="single" w:color="auto" w:sz="2" w:space="0"/>
            </w:tcBorders>
            <w:noWrap w:val="0"/>
            <w:vAlign w:val="top"/>
          </w:tcPr>
          <w:p w14:paraId="46B25CD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4</w:t>
            </w:r>
          </w:p>
        </w:tc>
        <w:tc>
          <w:tcPr>
            <w:tcW w:w="1710" w:type="dxa"/>
            <w:tcBorders>
              <w:top w:val="single" w:color="auto" w:sz="2" w:space="0"/>
              <w:left w:val="single" w:color="auto" w:sz="2" w:space="0"/>
              <w:bottom w:val="single" w:color="auto" w:sz="2" w:space="0"/>
              <w:right w:val="nil"/>
            </w:tcBorders>
            <w:noWrap w:val="0"/>
            <w:vAlign w:val="top"/>
          </w:tcPr>
          <w:p w14:paraId="6150B2E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bCs/>
                <w:color w:val="auto"/>
                <w:sz w:val="18"/>
                <w:szCs w:val="18"/>
                <w:lang w:val="en" w:eastAsia="zh-CN"/>
              </w:rPr>
            </w:pPr>
            <w:r>
              <w:rPr>
                <w:rFonts w:hint="default" w:ascii="宋体" w:hAnsi="宋体"/>
                <w:bCs/>
                <w:color w:val="auto"/>
                <w:sz w:val="18"/>
                <w:szCs w:val="18"/>
                <w:lang w:val="en" w:eastAsia="zh-CN"/>
              </w:rPr>
              <w:t>5</w:t>
            </w:r>
          </w:p>
        </w:tc>
      </w:tr>
      <w:tr w14:paraId="7CE7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2" w:space="0"/>
              <w:left w:val="nil"/>
              <w:bottom w:val="nil"/>
              <w:right w:val="single" w:color="auto" w:sz="2" w:space="0"/>
            </w:tcBorders>
            <w:noWrap w:val="0"/>
            <w:vAlign w:val="top"/>
          </w:tcPr>
          <w:p w14:paraId="6228A2A5">
            <w:pPr>
              <w:rPr>
                <w:rFonts w:ascii="宋体" w:hAnsi="宋体"/>
                <w:bCs/>
                <w:color w:val="auto"/>
                <w:sz w:val="18"/>
                <w:szCs w:val="18"/>
              </w:rPr>
            </w:pPr>
            <w:r>
              <w:rPr>
                <w:rFonts w:hint="eastAsia" w:ascii="宋体" w:hAnsi="宋体"/>
                <w:bCs/>
                <w:color w:val="auto"/>
                <w:sz w:val="18"/>
                <w:szCs w:val="18"/>
              </w:rPr>
              <w:t>合计</w:t>
            </w:r>
          </w:p>
        </w:tc>
        <w:tc>
          <w:tcPr>
            <w:tcW w:w="900" w:type="dxa"/>
            <w:tcBorders>
              <w:top w:val="single" w:color="auto" w:sz="2" w:space="0"/>
              <w:left w:val="single" w:color="auto" w:sz="2" w:space="0"/>
              <w:bottom w:val="nil"/>
              <w:right w:val="nil"/>
            </w:tcBorders>
            <w:noWrap w:val="0"/>
            <w:vAlign w:val="top"/>
          </w:tcPr>
          <w:p w14:paraId="2A96BB32">
            <w:pPr>
              <w:rPr>
                <w:rFonts w:ascii="宋体" w:hAnsi="宋体"/>
                <w:bCs/>
                <w:color w:val="auto"/>
                <w:sz w:val="18"/>
                <w:szCs w:val="18"/>
              </w:rPr>
            </w:pPr>
          </w:p>
        </w:tc>
        <w:tc>
          <w:tcPr>
            <w:tcW w:w="1113" w:type="dxa"/>
            <w:tcBorders>
              <w:top w:val="single" w:color="auto" w:sz="2" w:space="0"/>
              <w:left w:val="nil"/>
              <w:bottom w:val="nil"/>
              <w:right w:val="nil"/>
            </w:tcBorders>
            <w:noWrap w:val="0"/>
            <w:vAlign w:val="top"/>
          </w:tcPr>
          <w:p w14:paraId="6959E2CF">
            <w:pPr>
              <w:rPr>
                <w:rFonts w:ascii="宋体" w:hAnsi="宋体"/>
                <w:bCs/>
                <w:color w:val="auto"/>
                <w:sz w:val="18"/>
                <w:szCs w:val="18"/>
              </w:rPr>
            </w:pPr>
          </w:p>
        </w:tc>
        <w:tc>
          <w:tcPr>
            <w:tcW w:w="1440" w:type="dxa"/>
            <w:tcBorders>
              <w:top w:val="single" w:color="auto" w:sz="2" w:space="0"/>
              <w:left w:val="nil"/>
              <w:bottom w:val="nil"/>
              <w:right w:val="nil"/>
            </w:tcBorders>
            <w:noWrap w:val="0"/>
            <w:vAlign w:val="top"/>
          </w:tcPr>
          <w:p w14:paraId="64A03693">
            <w:pPr>
              <w:rPr>
                <w:rFonts w:ascii="宋体" w:hAnsi="宋体"/>
                <w:bCs/>
                <w:color w:val="auto"/>
                <w:sz w:val="18"/>
                <w:szCs w:val="18"/>
              </w:rPr>
            </w:pPr>
          </w:p>
        </w:tc>
        <w:tc>
          <w:tcPr>
            <w:tcW w:w="990" w:type="dxa"/>
            <w:tcBorders>
              <w:top w:val="single" w:color="auto" w:sz="2" w:space="0"/>
              <w:left w:val="nil"/>
              <w:bottom w:val="nil"/>
              <w:right w:val="nil"/>
            </w:tcBorders>
            <w:noWrap w:val="0"/>
            <w:vAlign w:val="top"/>
          </w:tcPr>
          <w:p w14:paraId="7CC3DB76">
            <w:pPr>
              <w:rPr>
                <w:rFonts w:ascii="宋体" w:hAnsi="宋体"/>
                <w:bCs/>
                <w:color w:val="auto"/>
                <w:sz w:val="18"/>
                <w:szCs w:val="18"/>
              </w:rPr>
            </w:pPr>
          </w:p>
        </w:tc>
        <w:tc>
          <w:tcPr>
            <w:tcW w:w="1110" w:type="dxa"/>
            <w:tcBorders>
              <w:top w:val="single" w:color="auto" w:sz="2" w:space="0"/>
              <w:left w:val="nil"/>
              <w:bottom w:val="nil"/>
              <w:right w:val="nil"/>
            </w:tcBorders>
            <w:noWrap w:val="0"/>
            <w:vAlign w:val="top"/>
          </w:tcPr>
          <w:p w14:paraId="5208B4C7">
            <w:pPr>
              <w:rPr>
                <w:rFonts w:ascii="宋体" w:hAnsi="宋体"/>
                <w:bCs/>
                <w:color w:val="auto"/>
                <w:sz w:val="18"/>
                <w:szCs w:val="18"/>
              </w:rPr>
            </w:pPr>
          </w:p>
        </w:tc>
        <w:tc>
          <w:tcPr>
            <w:tcW w:w="1275" w:type="dxa"/>
            <w:tcBorders>
              <w:top w:val="single" w:color="auto" w:sz="2" w:space="0"/>
              <w:left w:val="nil"/>
              <w:bottom w:val="nil"/>
              <w:right w:val="nil"/>
            </w:tcBorders>
            <w:noWrap w:val="0"/>
            <w:vAlign w:val="top"/>
          </w:tcPr>
          <w:p w14:paraId="145E8C9D">
            <w:pPr>
              <w:rPr>
                <w:rFonts w:ascii="宋体" w:hAnsi="宋体"/>
                <w:b/>
                <w:bCs/>
                <w:color w:val="auto"/>
                <w:sz w:val="18"/>
                <w:szCs w:val="18"/>
                <w:shd w:val="pct10" w:color="auto" w:fill="FFFFFF"/>
              </w:rPr>
            </w:pPr>
          </w:p>
        </w:tc>
        <w:tc>
          <w:tcPr>
            <w:tcW w:w="1710" w:type="dxa"/>
            <w:tcBorders>
              <w:top w:val="single" w:color="auto" w:sz="2" w:space="0"/>
              <w:left w:val="nil"/>
              <w:bottom w:val="nil"/>
              <w:right w:val="nil"/>
            </w:tcBorders>
            <w:noWrap w:val="0"/>
            <w:vAlign w:val="top"/>
          </w:tcPr>
          <w:p w14:paraId="71A4D8F6">
            <w:pPr>
              <w:rPr>
                <w:rFonts w:ascii="宋体" w:hAnsi="宋体"/>
                <w:b/>
                <w:bCs/>
                <w:color w:val="auto"/>
                <w:sz w:val="18"/>
                <w:szCs w:val="18"/>
                <w:shd w:val="pct10" w:color="auto" w:fill="FFFFFF"/>
              </w:rPr>
            </w:pPr>
          </w:p>
        </w:tc>
      </w:tr>
      <w:tr w14:paraId="4595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nil"/>
              <w:right w:val="single" w:color="auto" w:sz="2" w:space="0"/>
            </w:tcBorders>
            <w:noWrap w:val="0"/>
            <w:vAlign w:val="top"/>
          </w:tcPr>
          <w:p w14:paraId="310A85BC">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nil"/>
              <w:right w:val="nil"/>
            </w:tcBorders>
            <w:noWrap w:val="0"/>
            <w:vAlign w:val="top"/>
          </w:tcPr>
          <w:p w14:paraId="3C982F05">
            <w:pPr>
              <w:rPr>
                <w:rFonts w:ascii="宋体" w:hAnsi="宋体"/>
                <w:bCs/>
                <w:color w:val="auto"/>
                <w:sz w:val="18"/>
                <w:szCs w:val="18"/>
              </w:rPr>
            </w:pPr>
          </w:p>
        </w:tc>
        <w:tc>
          <w:tcPr>
            <w:tcW w:w="1113" w:type="dxa"/>
            <w:tcBorders>
              <w:top w:val="nil"/>
              <w:left w:val="nil"/>
              <w:bottom w:val="nil"/>
              <w:right w:val="nil"/>
            </w:tcBorders>
            <w:noWrap w:val="0"/>
            <w:vAlign w:val="top"/>
          </w:tcPr>
          <w:p w14:paraId="2E0B3E10">
            <w:pPr>
              <w:rPr>
                <w:rFonts w:ascii="宋体" w:hAnsi="宋体"/>
                <w:bCs/>
                <w:color w:val="auto"/>
                <w:sz w:val="18"/>
                <w:szCs w:val="18"/>
              </w:rPr>
            </w:pPr>
          </w:p>
        </w:tc>
        <w:tc>
          <w:tcPr>
            <w:tcW w:w="1440" w:type="dxa"/>
            <w:tcBorders>
              <w:top w:val="nil"/>
              <w:left w:val="nil"/>
              <w:bottom w:val="nil"/>
              <w:right w:val="nil"/>
            </w:tcBorders>
            <w:noWrap w:val="0"/>
            <w:vAlign w:val="top"/>
          </w:tcPr>
          <w:p w14:paraId="6F965C3B">
            <w:pPr>
              <w:rPr>
                <w:rFonts w:ascii="宋体" w:hAnsi="宋体"/>
                <w:bCs/>
                <w:color w:val="auto"/>
                <w:sz w:val="18"/>
                <w:szCs w:val="18"/>
              </w:rPr>
            </w:pPr>
          </w:p>
        </w:tc>
        <w:tc>
          <w:tcPr>
            <w:tcW w:w="990" w:type="dxa"/>
            <w:tcBorders>
              <w:top w:val="nil"/>
              <w:left w:val="nil"/>
              <w:bottom w:val="nil"/>
              <w:right w:val="nil"/>
            </w:tcBorders>
            <w:noWrap w:val="0"/>
            <w:vAlign w:val="top"/>
          </w:tcPr>
          <w:p w14:paraId="2F05ABA6">
            <w:pPr>
              <w:rPr>
                <w:rFonts w:ascii="宋体" w:hAnsi="宋体"/>
                <w:bCs/>
                <w:color w:val="auto"/>
                <w:sz w:val="18"/>
                <w:szCs w:val="18"/>
              </w:rPr>
            </w:pPr>
          </w:p>
        </w:tc>
        <w:tc>
          <w:tcPr>
            <w:tcW w:w="1110" w:type="dxa"/>
            <w:tcBorders>
              <w:top w:val="nil"/>
              <w:left w:val="nil"/>
              <w:bottom w:val="nil"/>
              <w:right w:val="nil"/>
            </w:tcBorders>
            <w:noWrap w:val="0"/>
            <w:vAlign w:val="top"/>
          </w:tcPr>
          <w:p w14:paraId="34E0F690">
            <w:pPr>
              <w:rPr>
                <w:rFonts w:ascii="宋体" w:hAnsi="宋体"/>
                <w:bCs/>
                <w:color w:val="auto"/>
                <w:sz w:val="18"/>
                <w:szCs w:val="18"/>
              </w:rPr>
            </w:pPr>
          </w:p>
        </w:tc>
        <w:tc>
          <w:tcPr>
            <w:tcW w:w="1275" w:type="dxa"/>
            <w:tcBorders>
              <w:top w:val="nil"/>
              <w:left w:val="nil"/>
              <w:bottom w:val="nil"/>
              <w:right w:val="nil"/>
            </w:tcBorders>
            <w:noWrap w:val="0"/>
            <w:vAlign w:val="top"/>
          </w:tcPr>
          <w:p w14:paraId="6CBCD2DD">
            <w:pPr>
              <w:rPr>
                <w:rFonts w:ascii="宋体" w:hAnsi="宋体"/>
                <w:b/>
                <w:bCs/>
                <w:color w:val="auto"/>
                <w:sz w:val="18"/>
                <w:szCs w:val="18"/>
                <w:shd w:val="pct10" w:color="auto" w:fill="FFFFFF"/>
              </w:rPr>
            </w:pPr>
          </w:p>
        </w:tc>
        <w:tc>
          <w:tcPr>
            <w:tcW w:w="1710" w:type="dxa"/>
            <w:tcBorders>
              <w:top w:val="nil"/>
              <w:left w:val="nil"/>
              <w:bottom w:val="nil"/>
              <w:right w:val="nil"/>
            </w:tcBorders>
            <w:noWrap w:val="0"/>
            <w:vAlign w:val="top"/>
          </w:tcPr>
          <w:p w14:paraId="3490ECFE">
            <w:pPr>
              <w:rPr>
                <w:rFonts w:ascii="宋体" w:hAnsi="宋体"/>
                <w:b/>
                <w:bCs/>
                <w:color w:val="auto"/>
                <w:sz w:val="18"/>
                <w:szCs w:val="18"/>
                <w:shd w:val="pct10" w:color="auto" w:fill="FFFFFF"/>
              </w:rPr>
            </w:pPr>
          </w:p>
        </w:tc>
      </w:tr>
      <w:tr w14:paraId="1F29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single" w:color="auto" w:sz="8" w:space="0"/>
              <w:right w:val="single" w:color="auto" w:sz="2" w:space="0"/>
            </w:tcBorders>
            <w:noWrap w:val="0"/>
            <w:vAlign w:val="top"/>
          </w:tcPr>
          <w:p w14:paraId="3C353500">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single" w:color="auto" w:sz="8" w:space="0"/>
              <w:right w:val="nil"/>
            </w:tcBorders>
            <w:noWrap w:val="0"/>
            <w:vAlign w:val="top"/>
          </w:tcPr>
          <w:p w14:paraId="116E77D7">
            <w:pPr>
              <w:rPr>
                <w:rFonts w:ascii="宋体" w:hAnsi="宋体"/>
                <w:bCs/>
                <w:color w:val="auto"/>
                <w:sz w:val="18"/>
                <w:szCs w:val="18"/>
              </w:rPr>
            </w:pPr>
          </w:p>
        </w:tc>
        <w:tc>
          <w:tcPr>
            <w:tcW w:w="1113" w:type="dxa"/>
            <w:tcBorders>
              <w:top w:val="nil"/>
              <w:left w:val="nil"/>
              <w:bottom w:val="single" w:color="auto" w:sz="8" w:space="0"/>
              <w:right w:val="nil"/>
            </w:tcBorders>
            <w:noWrap w:val="0"/>
            <w:vAlign w:val="top"/>
          </w:tcPr>
          <w:p w14:paraId="33186DDE">
            <w:pPr>
              <w:rPr>
                <w:rFonts w:ascii="宋体" w:hAnsi="宋体"/>
                <w:bCs/>
                <w:color w:val="auto"/>
                <w:sz w:val="18"/>
                <w:szCs w:val="18"/>
              </w:rPr>
            </w:pPr>
          </w:p>
        </w:tc>
        <w:tc>
          <w:tcPr>
            <w:tcW w:w="1440" w:type="dxa"/>
            <w:tcBorders>
              <w:top w:val="nil"/>
              <w:left w:val="nil"/>
              <w:bottom w:val="single" w:color="auto" w:sz="8" w:space="0"/>
              <w:right w:val="nil"/>
            </w:tcBorders>
            <w:noWrap w:val="0"/>
            <w:vAlign w:val="top"/>
          </w:tcPr>
          <w:p w14:paraId="2126DB76">
            <w:pPr>
              <w:rPr>
                <w:rFonts w:ascii="宋体" w:hAnsi="宋体"/>
                <w:bCs/>
                <w:color w:val="auto"/>
                <w:sz w:val="18"/>
                <w:szCs w:val="18"/>
              </w:rPr>
            </w:pPr>
          </w:p>
        </w:tc>
        <w:tc>
          <w:tcPr>
            <w:tcW w:w="990" w:type="dxa"/>
            <w:tcBorders>
              <w:top w:val="nil"/>
              <w:left w:val="nil"/>
              <w:bottom w:val="single" w:color="auto" w:sz="8" w:space="0"/>
              <w:right w:val="nil"/>
            </w:tcBorders>
            <w:noWrap w:val="0"/>
            <w:vAlign w:val="top"/>
          </w:tcPr>
          <w:p w14:paraId="04B75A24">
            <w:pPr>
              <w:rPr>
                <w:rFonts w:ascii="宋体" w:hAnsi="宋体"/>
                <w:bCs/>
                <w:color w:val="auto"/>
                <w:sz w:val="18"/>
                <w:szCs w:val="18"/>
              </w:rPr>
            </w:pPr>
          </w:p>
        </w:tc>
        <w:tc>
          <w:tcPr>
            <w:tcW w:w="1110" w:type="dxa"/>
            <w:tcBorders>
              <w:top w:val="nil"/>
              <w:left w:val="nil"/>
              <w:bottom w:val="single" w:color="auto" w:sz="8" w:space="0"/>
              <w:right w:val="nil"/>
            </w:tcBorders>
            <w:noWrap w:val="0"/>
            <w:vAlign w:val="top"/>
          </w:tcPr>
          <w:p w14:paraId="48408FA3">
            <w:pPr>
              <w:rPr>
                <w:rFonts w:ascii="宋体" w:hAnsi="宋体"/>
                <w:bCs/>
                <w:color w:val="auto"/>
                <w:sz w:val="18"/>
                <w:szCs w:val="18"/>
              </w:rPr>
            </w:pPr>
          </w:p>
        </w:tc>
        <w:tc>
          <w:tcPr>
            <w:tcW w:w="1275" w:type="dxa"/>
            <w:tcBorders>
              <w:top w:val="nil"/>
              <w:left w:val="nil"/>
              <w:bottom w:val="single" w:color="auto" w:sz="8" w:space="0"/>
              <w:right w:val="nil"/>
            </w:tcBorders>
            <w:noWrap w:val="0"/>
            <w:vAlign w:val="top"/>
          </w:tcPr>
          <w:p w14:paraId="17D90C86">
            <w:pPr>
              <w:rPr>
                <w:rFonts w:ascii="宋体" w:hAnsi="宋体"/>
                <w:b/>
                <w:bCs/>
                <w:color w:val="auto"/>
                <w:sz w:val="18"/>
                <w:szCs w:val="18"/>
                <w:shd w:val="pct10" w:color="auto" w:fill="FFFFFF"/>
              </w:rPr>
            </w:pPr>
          </w:p>
        </w:tc>
        <w:tc>
          <w:tcPr>
            <w:tcW w:w="1710" w:type="dxa"/>
            <w:tcBorders>
              <w:top w:val="nil"/>
              <w:left w:val="nil"/>
              <w:bottom w:val="single" w:color="auto" w:sz="8" w:space="0"/>
              <w:right w:val="nil"/>
            </w:tcBorders>
            <w:noWrap w:val="0"/>
            <w:vAlign w:val="top"/>
          </w:tcPr>
          <w:p w14:paraId="1A19E088">
            <w:pPr>
              <w:rPr>
                <w:rFonts w:ascii="宋体" w:hAnsi="宋体"/>
                <w:b/>
                <w:bCs/>
                <w:color w:val="auto"/>
                <w:sz w:val="18"/>
                <w:szCs w:val="18"/>
                <w:shd w:val="pct10" w:color="auto" w:fill="FFFFFF"/>
              </w:rPr>
            </w:pPr>
          </w:p>
        </w:tc>
      </w:tr>
    </w:tbl>
    <w:p w14:paraId="56024C6D">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3638E78A">
      <w:pPr>
        <w:rPr>
          <w:rFonts w:ascii="宋体" w:hAnsi="宋体"/>
          <w:bCs/>
          <w:color w:val="auto"/>
          <w:sz w:val="18"/>
          <w:szCs w:val="18"/>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度</w:t>
      </w:r>
      <w:r>
        <w:rPr>
          <w:rFonts w:hint="eastAsia" w:ascii="宋体" w:hAnsi="宋体"/>
          <w:bCs/>
          <w:color w:val="auto"/>
          <w:sz w:val="18"/>
          <w:szCs w:val="18"/>
        </w:rPr>
        <w:t>企业对外承包工程</w:t>
      </w:r>
      <w:r>
        <w:rPr>
          <w:rFonts w:hint="eastAsia" w:ascii="宋体" w:hAnsi="宋体"/>
          <w:bCs/>
          <w:color w:val="auto"/>
          <w:sz w:val="18"/>
          <w:szCs w:val="18"/>
          <w:lang w:eastAsia="zh-CN"/>
        </w:rPr>
        <w:t>分包</w:t>
      </w:r>
      <w:r>
        <w:rPr>
          <w:rFonts w:hint="eastAsia" w:ascii="宋体" w:hAnsi="宋体"/>
          <w:bCs/>
          <w:color w:val="auto"/>
          <w:sz w:val="18"/>
          <w:szCs w:val="18"/>
        </w:rPr>
        <w:t>项目的</w:t>
      </w:r>
      <w:r>
        <w:rPr>
          <w:rFonts w:hint="eastAsia" w:ascii="宋体" w:hAnsi="宋体"/>
          <w:bCs/>
          <w:color w:val="auto"/>
          <w:sz w:val="18"/>
          <w:szCs w:val="18"/>
          <w:lang w:eastAsia="zh-CN"/>
        </w:rPr>
        <w:t>进展</w:t>
      </w:r>
      <w:r>
        <w:rPr>
          <w:rFonts w:hint="eastAsia" w:ascii="宋体" w:hAnsi="宋体"/>
          <w:bCs/>
          <w:color w:val="auto"/>
          <w:sz w:val="18"/>
          <w:szCs w:val="18"/>
        </w:rPr>
        <w:t>情况。</w:t>
      </w:r>
    </w:p>
    <w:p w14:paraId="486120E1">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对外承包工程分包项目签约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境外中资企业承揽的承包工程项目由投资企业填报。</w:t>
      </w:r>
    </w:p>
    <w:p w14:paraId="07AB4F7B">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lang w:eastAsia="zh-CN"/>
        </w:rPr>
        <w:t>项目状态：包括进行中、暂停（</w:t>
      </w:r>
      <w:r>
        <w:rPr>
          <w:rFonts w:hint="eastAsia" w:ascii="宋体" w:hAnsi="宋体"/>
          <w:bCs/>
          <w:color w:val="auto"/>
          <w:sz w:val="18"/>
          <w:szCs w:val="18"/>
          <w:highlight w:val="none"/>
          <w:lang w:eastAsia="zh-CN"/>
        </w:rPr>
        <w:t>需在统计系统中</w:t>
      </w:r>
      <w:r>
        <w:rPr>
          <w:rFonts w:hint="eastAsia" w:ascii="宋体" w:hAnsi="宋体"/>
          <w:bCs/>
          <w:color w:val="auto"/>
          <w:sz w:val="18"/>
          <w:szCs w:val="18"/>
          <w:lang w:eastAsia="zh-CN"/>
        </w:rPr>
        <w:t>简要备注原因）、质保期、已完工。</w:t>
      </w:r>
    </w:p>
    <w:p w14:paraId="0869D84D">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w:t>
      </w:r>
      <w:r>
        <w:rPr>
          <w:rFonts w:hint="eastAsia" w:ascii="宋体" w:hAnsi="宋体"/>
          <w:bCs/>
          <w:color w:val="auto"/>
          <w:sz w:val="18"/>
          <w:szCs w:val="18"/>
          <w:lang w:eastAsia="zh-CN"/>
        </w:rPr>
        <w:t>完成营业额按与总包单位确定的对应口径填报。</w:t>
      </w:r>
    </w:p>
    <w:p w14:paraId="4A0E03C0">
      <w:pPr>
        <w:ind w:firstLine="540" w:firstLineChars="300"/>
        <w:rPr>
          <w:rFonts w:hint="eastAsia" w:ascii="宋体" w:hAnsi="宋体" w:eastAsia="宋体"/>
          <w:bCs/>
          <w:color w:val="auto"/>
          <w:sz w:val="18"/>
          <w:szCs w:val="18"/>
          <w:lang w:val="en-US" w:eastAsia="zh-CN"/>
        </w:rPr>
      </w:pPr>
      <w:r>
        <w:rPr>
          <w:rFonts w:hint="eastAsia" w:ascii="宋体" w:hAnsi="宋体"/>
          <w:bCs/>
          <w:color w:val="auto"/>
          <w:sz w:val="18"/>
          <w:szCs w:val="18"/>
          <w:lang w:val="en-US" w:eastAsia="zh-CN"/>
        </w:rPr>
        <w:t>5.本表</w:t>
      </w:r>
      <w:r>
        <w:rPr>
          <w:rFonts w:hint="eastAsia" w:ascii="宋体" w:hAnsi="宋体"/>
          <w:bCs/>
          <w:color w:val="auto"/>
          <w:sz w:val="18"/>
          <w:szCs w:val="18"/>
        </w:rPr>
        <w:t>外派人数</w:t>
      </w:r>
      <w:r>
        <w:rPr>
          <w:rFonts w:hint="eastAsia" w:ascii="宋体" w:hAnsi="宋体"/>
          <w:bCs/>
          <w:color w:val="auto"/>
          <w:sz w:val="18"/>
          <w:szCs w:val="18"/>
          <w:lang w:eastAsia="zh-CN"/>
        </w:rPr>
        <w:t>、</w:t>
      </w:r>
      <w:r>
        <w:rPr>
          <w:rFonts w:hint="eastAsia" w:ascii="宋体" w:hAnsi="宋体"/>
          <w:bCs/>
          <w:color w:val="auto"/>
          <w:sz w:val="18"/>
          <w:szCs w:val="18"/>
        </w:rPr>
        <w:t>月末在外人数</w:t>
      </w:r>
      <w:r>
        <w:rPr>
          <w:rFonts w:hint="eastAsia" w:ascii="宋体" w:hAnsi="宋体"/>
          <w:bCs/>
          <w:color w:val="auto"/>
          <w:sz w:val="18"/>
          <w:szCs w:val="18"/>
          <w:lang w:eastAsia="zh-CN"/>
        </w:rPr>
        <w:t>、</w:t>
      </w: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r>
        <w:rPr>
          <w:rFonts w:hint="eastAsia" w:ascii="宋体" w:hAnsi="宋体"/>
          <w:bCs/>
          <w:color w:val="auto"/>
          <w:sz w:val="18"/>
          <w:szCs w:val="18"/>
          <w:lang w:eastAsia="zh-CN"/>
        </w:rPr>
        <w:t>、</w:t>
      </w:r>
      <w:r>
        <w:rPr>
          <w:rFonts w:hint="eastAsia" w:ascii="宋体" w:hAnsi="宋体"/>
          <w:bCs/>
          <w:color w:val="auto"/>
          <w:sz w:val="18"/>
          <w:szCs w:val="18"/>
        </w:rPr>
        <w:t>月末雇用第三国人员数量</w:t>
      </w:r>
      <w:r>
        <w:rPr>
          <w:rFonts w:hint="eastAsia" w:ascii="宋体" w:hAnsi="宋体"/>
          <w:bCs/>
          <w:color w:val="auto"/>
          <w:sz w:val="18"/>
          <w:szCs w:val="18"/>
          <w:lang w:eastAsia="zh-CN"/>
        </w:rPr>
        <w:t>是指为完成对外承包工程分包项目，而派出、在外、雇用的相关人员数量。</w:t>
      </w:r>
    </w:p>
    <w:p w14:paraId="0C46D593">
      <w:pPr>
        <w:jc w:val="center"/>
        <w:rPr>
          <w:rFonts w:hint="eastAsia" w:ascii="宋体" w:hAnsi="宋体"/>
          <w:b/>
          <w:color w:val="auto"/>
          <w:sz w:val="32"/>
          <w:szCs w:val="32"/>
        </w:rPr>
      </w:pPr>
    </w:p>
    <w:p w14:paraId="42846ED2">
      <w:pPr>
        <w:jc w:val="center"/>
        <w:outlineLvl w:val="1"/>
        <w:rPr>
          <w:rFonts w:hint="eastAsia" w:ascii="宋体" w:hAnsi="宋体" w:eastAsia="宋体"/>
          <w:b/>
          <w:color w:val="auto"/>
          <w:sz w:val="32"/>
          <w:szCs w:val="32"/>
          <w:lang w:eastAsia="zh-CN"/>
        </w:rPr>
      </w:pPr>
      <w:bookmarkStart w:id="22" w:name="_Toc569295735"/>
      <w:r>
        <w:rPr>
          <w:rFonts w:hint="eastAsia" w:ascii="宋体" w:hAnsi="宋体"/>
          <w:b/>
          <w:color w:val="auto"/>
          <w:sz w:val="32"/>
          <w:szCs w:val="32"/>
        </w:rPr>
        <w:br w:type="page"/>
      </w:r>
      <w:bookmarkStart w:id="23" w:name="_Toc119997839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项目中方人员构成及变化情况</w:t>
      </w:r>
      <w:bookmarkEnd w:id="22"/>
      <w:bookmarkEnd w:id="23"/>
    </w:p>
    <w:p w14:paraId="1C5FB6C0">
      <w:pPr>
        <w:ind w:right="720" w:firstLine="5850" w:firstLineChars="3250"/>
        <w:rPr>
          <w:rFonts w:ascii="宋体" w:hAnsi="宋体"/>
          <w:bCs/>
          <w:color w:val="auto"/>
          <w:sz w:val="18"/>
          <w:szCs w:val="18"/>
        </w:rPr>
      </w:pPr>
    </w:p>
    <w:tbl>
      <w:tblPr>
        <w:tblStyle w:val="11"/>
        <w:tblW w:w="9522" w:type="dxa"/>
        <w:tblInd w:w="93" w:type="dxa"/>
        <w:tblLayout w:type="fixed"/>
        <w:tblCellMar>
          <w:top w:w="0" w:type="dxa"/>
          <w:left w:w="108" w:type="dxa"/>
          <w:bottom w:w="0" w:type="dxa"/>
          <w:right w:w="108" w:type="dxa"/>
        </w:tblCellMar>
      </w:tblPr>
      <w:tblGrid>
        <w:gridCol w:w="5840"/>
        <w:gridCol w:w="3682"/>
      </w:tblGrid>
      <w:tr w14:paraId="3E7AD3B9">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D423B84">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59014C58">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5</w:t>
            </w:r>
          </w:p>
        </w:tc>
      </w:tr>
      <w:tr w14:paraId="4A6005BC">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284AB842">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688E9E7A">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4B7331FA">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6A4D7969">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7570DE3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4005786D">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FA79296">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752D45D8">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20800093">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4BB86C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459D45E2">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w:t>
            </w:r>
            <w:r>
              <w:rPr>
                <w:rFonts w:hint="eastAsia" w:ascii="宋体" w:hAnsi="宋体" w:eastAsia="宋体" w:cs="宋体"/>
                <w:i w:val="0"/>
                <w:color w:val="auto"/>
                <w:kern w:val="0"/>
                <w:sz w:val="18"/>
                <w:szCs w:val="18"/>
                <w:u w:val="none"/>
                <w:lang w:val="en-US" w:eastAsia="zh-CN" w:bidi="ar"/>
              </w:rPr>
              <w:t>028</w:t>
            </w:r>
            <w:r>
              <w:rPr>
                <w:rFonts w:hint="eastAsia" w:ascii="宋体" w:hAnsi="宋体" w:eastAsia="宋体" w:cs="宋体"/>
                <w:i w:val="0"/>
                <w:iCs w:val="0"/>
                <w:color w:val="auto"/>
                <w:spacing w:val="0"/>
                <w:w w:val="100"/>
                <w:kern w:val="0"/>
                <w:sz w:val="18"/>
                <w:szCs w:val="18"/>
                <w:u w:val="none"/>
                <w:lang w:val="en-US" w:eastAsia="zh-CN" w:bidi="ar"/>
              </w:rPr>
              <w:t>年1月     　</w:t>
            </w:r>
          </w:p>
        </w:tc>
      </w:tr>
      <w:tr w14:paraId="5CD9E1C4">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305961E">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53A80933">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人</w:t>
            </w:r>
          </w:p>
        </w:tc>
      </w:tr>
    </w:tbl>
    <w:p w14:paraId="1373ADD9">
      <w:pPr>
        <w:ind w:right="-180"/>
        <w:jc w:val="center"/>
        <w:rPr>
          <w:color w:val="auto"/>
        </w:rPr>
      </w:pPr>
      <w:r>
        <w:rPr>
          <w:rFonts w:hint="eastAsia" w:ascii="宋体" w:hAnsi="宋体"/>
          <w:bCs/>
          <w:color w:val="auto"/>
          <w:sz w:val="18"/>
          <w:szCs w:val="18"/>
        </w:rPr>
        <w:t>年         月</w:t>
      </w:r>
    </w:p>
    <w:tbl>
      <w:tblPr>
        <w:tblStyle w:val="11"/>
        <w:tblW w:w="9483" w:type="dxa"/>
        <w:tblInd w:w="93" w:type="dxa"/>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3216"/>
        <w:gridCol w:w="1485"/>
        <w:gridCol w:w="1194"/>
        <w:gridCol w:w="1252"/>
        <w:gridCol w:w="1031"/>
        <w:gridCol w:w="1305"/>
      </w:tblGrid>
      <w:tr w14:paraId="273B75DC">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3216" w:type="dxa"/>
            <w:tcBorders>
              <w:tl2br w:val="nil"/>
              <w:tr2bl w:val="nil"/>
            </w:tcBorders>
            <w:noWrap/>
            <w:vAlign w:val="center"/>
          </w:tcPr>
          <w:p w14:paraId="1A1AF11D">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项目名称/人员行业</w:t>
            </w:r>
          </w:p>
        </w:tc>
        <w:tc>
          <w:tcPr>
            <w:tcW w:w="1485" w:type="dxa"/>
            <w:tcBorders>
              <w:tl2br w:val="nil"/>
              <w:tr2bl w:val="nil"/>
            </w:tcBorders>
            <w:noWrap w:val="0"/>
            <w:vAlign w:val="center"/>
          </w:tcPr>
          <w:p w14:paraId="618A6AD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上月末在外人数</w:t>
            </w:r>
          </w:p>
        </w:tc>
        <w:tc>
          <w:tcPr>
            <w:tcW w:w="1194" w:type="dxa"/>
            <w:tcBorders>
              <w:tl2br w:val="nil"/>
              <w:tr2bl w:val="nil"/>
            </w:tcBorders>
            <w:noWrap w:val="0"/>
            <w:vAlign w:val="center"/>
          </w:tcPr>
          <w:p w14:paraId="6195785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本月末在外人数</w:t>
            </w:r>
          </w:p>
        </w:tc>
        <w:tc>
          <w:tcPr>
            <w:tcW w:w="1252" w:type="dxa"/>
            <w:tcBorders>
              <w:tl2br w:val="nil"/>
              <w:tr2bl w:val="nil"/>
            </w:tcBorders>
            <w:noWrap w:val="0"/>
            <w:vAlign w:val="center"/>
          </w:tcPr>
          <w:p w14:paraId="0983501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当月派出人数</w:t>
            </w:r>
          </w:p>
        </w:tc>
        <w:tc>
          <w:tcPr>
            <w:tcW w:w="1031" w:type="dxa"/>
            <w:tcBorders>
              <w:tl2br w:val="nil"/>
              <w:tr2bl w:val="nil"/>
            </w:tcBorders>
            <w:noWrap w:val="0"/>
            <w:vAlign w:val="center"/>
          </w:tcPr>
          <w:p w14:paraId="68051BC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当月回国人数</w:t>
            </w:r>
          </w:p>
        </w:tc>
        <w:tc>
          <w:tcPr>
            <w:tcW w:w="1305" w:type="dxa"/>
            <w:tcBorders>
              <w:tl2br w:val="nil"/>
              <w:tr2bl w:val="nil"/>
            </w:tcBorders>
            <w:noWrap w:val="0"/>
            <w:vAlign w:val="center"/>
          </w:tcPr>
          <w:p w14:paraId="1A55E8B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当月国家（地区）间流动增减</w:t>
            </w:r>
          </w:p>
        </w:tc>
      </w:tr>
      <w:tr w14:paraId="5DA32F7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0" w:hRule="atLeast"/>
        </w:trPr>
        <w:tc>
          <w:tcPr>
            <w:tcW w:w="3216" w:type="dxa"/>
            <w:tcBorders>
              <w:tl2br w:val="nil"/>
              <w:tr2bl w:val="nil"/>
            </w:tcBorders>
            <w:noWrap/>
            <w:vAlign w:val="center"/>
          </w:tcPr>
          <w:p w14:paraId="2AF1AAC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甲</w:t>
            </w:r>
          </w:p>
        </w:tc>
        <w:tc>
          <w:tcPr>
            <w:tcW w:w="0" w:type="auto"/>
            <w:tcBorders>
              <w:tl2br w:val="nil"/>
              <w:tr2bl w:val="nil"/>
            </w:tcBorders>
            <w:noWrap/>
            <w:vAlign w:val="center"/>
          </w:tcPr>
          <w:p w14:paraId="45D3DE1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w:t>
            </w:r>
          </w:p>
        </w:tc>
        <w:tc>
          <w:tcPr>
            <w:tcW w:w="0" w:type="auto"/>
            <w:tcBorders>
              <w:tl2br w:val="nil"/>
              <w:tr2bl w:val="nil"/>
            </w:tcBorders>
            <w:noWrap/>
            <w:vAlign w:val="center"/>
          </w:tcPr>
          <w:p w14:paraId="20BA6D4D">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2</w:t>
            </w:r>
          </w:p>
        </w:tc>
        <w:tc>
          <w:tcPr>
            <w:tcW w:w="0" w:type="auto"/>
            <w:tcBorders>
              <w:tl2br w:val="nil"/>
              <w:tr2bl w:val="nil"/>
            </w:tcBorders>
            <w:noWrap/>
            <w:vAlign w:val="center"/>
          </w:tcPr>
          <w:p w14:paraId="12B87D00">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3</w:t>
            </w:r>
          </w:p>
        </w:tc>
        <w:tc>
          <w:tcPr>
            <w:tcW w:w="1031" w:type="dxa"/>
            <w:tcBorders>
              <w:tl2br w:val="nil"/>
              <w:tr2bl w:val="nil"/>
            </w:tcBorders>
            <w:noWrap/>
            <w:vAlign w:val="center"/>
          </w:tcPr>
          <w:p w14:paraId="7BE4979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4</w:t>
            </w:r>
          </w:p>
        </w:tc>
        <w:tc>
          <w:tcPr>
            <w:tcW w:w="1305" w:type="dxa"/>
            <w:tcBorders>
              <w:tl2br w:val="nil"/>
              <w:tr2bl w:val="nil"/>
            </w:tcBorders>
            <w:noWrap/>
            <w:vAlign w:val="center"/>
          </w:tcPr>
          <w:p w14:paraId="2C7F3F1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5</w:t>
            </w:r>
          </w:p>
        </w:tc>
      </w:tr>
      <w:tr w14:paraId="174C63A5">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69" w:hRule="atLeast"/>
        </w:trPr>
        <w:tc>
          <w:tcPr>
            <w:tcW w:w="0" w:type="auto"/>
            <w:tcBorders>
              <w:bottom w:val="nil"/>
            </w:tcBorders>
            <w:noWrap/>
            <w:vAlign w:val="center"/>
          </w:tcPr>
          <w:p w14:paraId="5C47ECA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b w:val="0"/>
                <w:bCs w:val="0"/>
                <w:i w:val="0"/>
                <w:color w:val="auto"/>
                <w:sz w:val="18"/>
                <w:szCs w:val="18"/>
                <w:u w:val="none"/>
              </w:rPr>
            </w:pPr>
            <w:r>
              <w:rPr>
                <w:rFonts w:hint="eastAsia" w:ascii="宋体" w:hAnsi="宋体" w:eastAsia="宋体" w:cs="宋体"/>
                <w:b w:val="0"/>
                <w:bCs w:val="0"/>
                <w:i w:val="0"/>
                <w:color w:val="auto"/>
                <w:kern w:val="0"/>
                <w:sz w:val="18"/>
                <w:szCs w:val="18"/>
                <w:u w:val="none"/>
                <w:lang w:val="en-US" w:eastAsia="zh-CN" w:bidi="ar"/>
              </w:rPr>
              <w:t>XX国家XX项目小计</w:t>
            </w:r>
          </w:p>
        </w:tc>
        <w:tc>
          <w:tcPr>
            <w:tcW w:w="0" w:type="auto"/>
            <w:tcBorders>
              <w:bottom w:val="nil"/>
              <w:right w:val="nil"/>
            </w:tcBorders>
            <w:noWrap/>
            <w:vAlign w:val="center"/>
          </w:tcPr>
          <w:p w14:paraId="3A044CE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0" w:type="auto"/>
            <w:tcBorders>
              <w:left w:val="nil"/>
              <w:bottom w:val="nil"/>
              <w:right w:val="nil"/>
            </w:tcBorders>
            <w:noWrap/>
            <w:vAlign w:val="center"/>
          </w:tcPr>
          <w:p w14:paraId="37EF6FA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0" w:type="auto"/>
            <w:tcBorders>
              <w:left w:val="nil"/>
              <w:bottom w:val="nil"/>
              <w:right w:val="nil"/>
            </w:tcBorders>
            <w:noWrap/>
            <w:vAlign w:val="center"/>
          </w:tcPr>
          <w:p w14:paraId="45EB774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1031" w:type="dxa"/>
            <w:tcBorders>
              <w:left w:val="nil"/>
              <w:bottom w:val="nil"/>
              <w:right w:val="nil"/>
            </w:tcBorders>
            <w:noWrap/>
            <w:vAlign w:val="center"/>
          </w:tcPr>
          <w:p w14:paraId="0C9D468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1305" w:type="dxa"/>
            <w:tcBorders>
              <w:left w:val="nil"/>
              <w:bottom w:val="nil"/>
            </w:tcBorders>
            <w:noWrap/>
            <w:vAlign w:val="center"/>
          </w:tcPr>
          <w:p w14:paraId="63BECE7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r>
      <w:tr w14:paraId="6F8B168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15A24483">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农、林、牧、渔业</w:t>
            </w:r>
          </w:p>
        </w:tc>
        <w:tc>
          <w:tcPr>
            <w:tcW w:w="0" w:type="auto"/>
            <w:tcBorders>
              <w:top w:val="nil"/>
              <w:bottom w:val="nil"/>
              <w:right w:val="nil"/>
            </w:tcBorders>
            <w:noWrap/>
            <w:vAlign w:val="center"/>
          </w:tcPr>
          <w:p w14:paraId="6C00EE61">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0E35C1F">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F56101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6DFD38F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3FCCBE8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8E3B708">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1D08ECC5">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采矿业</w:t>
            </w:r>
          </w:p>
        </w:tc>
        <w:tc>
          <w:tcPr>
            <w:tcW w:w="0" w:type="auto"/>
            <w:tcBorders>
              <w:top w:val="nil"/>
              <w:bottom w:val="nil"/>
              <w:right w:val="nil"/>
            </w:tcBorders>
            <w:noWrap/>
            <w:vAlign w:val="center"/>
          </w:tcPr>
          <w:p w14:paraId="071822B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2D7D25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9DF980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CBC591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22C64C9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044D70E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0643727C">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制造业</w:t>
            </w:r>
          </w:p>
        </w:tc>
        <w:tc>
          <w:tcPr>
            <w:tcW w:w="0" w:type="auto"/>
            <w:tcBorders>
              <w:top w:val="nil"/>
              <w:bottom w:val="nil"/>
              <w:right w:val="nil"/>
            </w:tcBorders>
            <w:noWrap/>
            <w:vAlign w:val="center"/>
          </w:tcPr>
          <w:p w14:paraId="561C4B4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70D90BE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15F34FF">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042CBD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54CFD41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6C03E79">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00BB3AE5">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建筑业</w:t>
            </w:r>
          </w:p>
        </w:tc>
        <w:tc>
          <w:tcPr>
            <w:tcW w:w="0" w:type="auto"/>
            <w:tcBorders>
              <w:top w:val="nil"/>
              <w:bottom w:val="nil"/>
              <w:right w:val="nil"/>
            </w:tcBorders>
            <w:noWrap/>
            <w:vAlign w:val="center"/>
          </w:tcPr>
          <w:p w14:paraId="3EBA6FB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700F42E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389D4A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D2887F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26AF006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BF615E1">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2151457D">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居民服务、修理和其他服务业</w:t>
            </w:r>
          </w:p>
        </w:tc>
        <w:tc>
          <w:tcPr>
            <w:tcW w:w="0" w:type="auto"/>
            <w:tcBorders>
              <w:top w:val="nil"/>
              <w:bottom w:val="nil"/>
              <w:right w:val="nil"/>
            </w:tcBorders>
            <w:noWrap/>
            <w:vAlign w:val="center"/>
          </w:tcPr>
          <w:p w14:paraId="332CC7F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DC72CC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44C361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6C8BFBD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36AFC73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5FF816D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6299A690">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交通运输、仓储和邮政业</w:t>
            </w:r>
          </w:p>
        </w:tc>
        <w:tc>
          <w:tcPr>
            <w:tcW w:w="0" w:type="auto"/>
            <w:tcBorders>
              <w:top w:val="nil"/>
              <w:bottom w:val="nil"/>
              <w:right w:val="nil"/>
            </w:tcBorders>
            <w:noWrap/>
            <w:vAlign w:val="center"/>
          </w:tcPr>
          <w:p w14:paraId="31CCC93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8E8F17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79EBDA8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4CB0DF7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42098AD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1BECC41">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7CA48936">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信息传输、软件和信息技术服务业</w:t>
            </w:r>
          </w:p>
        </w:tc>
        <w:tc>
          <w:tcPr>
            <w:tcW w:w="0" w:type="auto"/>
            <w:tcBorders>
              <w:top w:val="nil"/>
              <w:bottom w:val="nil"/>
              <w:right w:val="nil"/>
            </w:tcBorders>
            <w:noWrap/>
            <w:vAlign w:val="center"/>
          </w:tcPr>
          <w:p w14:paraId="7A6CAE8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D8EFEF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C7F53E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116AF9F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499E6D7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326760BC">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53DE6827">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批发和零售业</w:t>
            </w:r>
          </w:p>
        </w:tc>
        <w:tc>
          <w:tcPr>
            <w:tcW w:w="0" w:type="auto"/>
            <w:tcBorders>
              <w:top w:val="nil"/>
              <w:bottom w:val="nil"/>
              <w:right w:val="nil"/>
            </w:tcBorders>
            <w:noWrap/>
            <w:vAlign w:val="center"/>
          </w:tcPr>
          <w:p w14:paraId="24A9045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65D222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3BE1296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CCEB77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2E0F3AD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143223A0">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6B663DB1">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住宿和餐饮业</w:t>
            </w:r>
          </w:p>
        </w:tc>
        <w:tc>
          <w:tcPr>
            <w:tcW w:w="0" w:type="auto"/>
            <w:tcBorders>
              <w:top w:val="nil"/>
              <w:bottom w:val="nil"/>
              <w:right w:val="nil"/>
            </w:tcBorders>
            <w:noWrap/>
            <w:vAlign w:val="center"/>
          </w:tcPr>
          <w:p w14:paraId="53F8593F">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50A9A4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7C29A621">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3100814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78CC854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34EEA041">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258C3484">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文化、体育和娱乐业</w:t>
            </w:r>
          </w:p>
        </w:tc>
        <w:tc>
          <w:tcPr>
            <w:tcW w:w="0" w:type="auto"/>
            <w:tcBorders>
              <w:top w:val="nil"/>
              <w:bottom w:val="nil"/>
              <w:right w:val="nil"/>
            </w:tcBorders>
            <w:noWrap/>
            <w:vAlign w:val="center"/>
          </w:tcPr>
          <w:p w14:paraId="186380C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1809EEB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D1212E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7D2A6B6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4C1950A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59DF2A76">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779C2D3B">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卫生和社会工作</w:t>
            </w:r>
          </w:p>
        </w:tc>
        <w:tc>
          <w:tcPr>
            <w:tcW w:w="0" w:type="auto"/>
            <w:tcBorders>
              <w:top w:val="nil"/>
              <w:bottom w:val="nil"/>
              <w:right w:val="nil"/>
            </w:tcBorders>
            <w:noWrap/>
            <w:vAlign w:val="center"/>
          </w:tcPr>
          <w:p w14:paraId="5070E4F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68DE29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4D8901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29FAE32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7AC4117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A6CBC0B">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single" w:color="000000" w:sz="8" w:space="0"/>
            </w:tcBorders>
            <w:noWrap/>
            <w:vAlign w:val="center"/>
          </w:tcPr>
          <w:p w14:paraId="78C98D4C">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18"/>
                <w:szCs w:val="18"/>
                <w:u w:val="none"/>
                <w:lang w:val="en-US" w:eastAsia="zh-CN" w:bidi="ar"/>
              </w:rPr>
              <w:t>其他</w:t>
            </w:r>
          </w:p>
        </w:tc>
        <w:tc>
          <w:tcPr>
            <w:tcW w:w="0" w:type="auto"/>
            <w:tcBorders>
              <w:top w:val="nil"/>
              <w:right w:val="nil"/>
            </w:tcBorders>
            <w:noWrap/>
            <w:vAlign w:val="center"/>
          </w:tcPr>
          <w:p w14:paraId="71FCBD5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0" w:type="auto"/>
            <w:tcBorders>
              <w:top w:val="nil"/>
              <w:left w:val="nil"/>
              <w:right w:val="nil"/>
            </w:tcBorders>
            <w:noWrap/>
            <w:vAlign w:val="center"/>
          </w:tcPr>
          <w:p w14:paraId="30F7ACD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0" w:type="auto"/>
            <w:tcBorders>
              <w:top w:val="nil"/>
              <w:left w:val="nil"/>
              <w:right w:val="nil"/>
            </w:tcBorders>
            <w:noWrap/>
            <w:vAlign w:val="center"/>
          </w:tcPr>
          <w:p w14:paraId="5EAF77D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1031" w:type="dxa"/>
            <w:tcBorders>
              <w:top w:val="nil"/>
              <w:left w:val="nil"/>
              <w:right w:val="nil"/>
            </w:tcBorders>
            <w:noWrap/>
            <w:vAlign w:val="center"/>
          </w:tcPr>
          <w:p w14:paraId="23BBB27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1305" w:type="dxa"/>
            <w:tcBorders>
              <w:top w:val="nil"/>
              <w:left w:val="nil"/>
            </w:tcBorders>
            <w:noWrap/>
            <w:vAlign w:val="center"/>
          </w:tcPr>
          <w:p w14:paraId="4AA0752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r>
    </w:tbl>
    <w:p w14:paraId="6FEE8181">
      <w:pPr>
        <w:rPr>
          <w:rFonts w:hint="default"/>
          <w:color w:val="auto"/>
          <w:lang w:val="en-US" w:eastAsia="zh-CN"/>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4B504D86">
      <w:pPr>
        <w:rPr>
          <w:rFonts w:hint="eastAsia" w:ascii="宋体" w:hAnsi="宋体"/>
          <w:bCs/>
          <w:color w:val="auto"/>
          <w:sz w:val="18"/>
          <w:szCs w:val="18"/>
          <w:lang w:val="en-US" w:eastAsia="zh-CN"/>
        </w:rPr>
      </w:pPr>
      <w:r>
        <w:rPr>
          <w:rFonts w:hint="eastAsia" w:ascii="宋体" w:hAnsi="宋体"/>
          <w:bCs/>
          <w:color w:val="auto"/>
          <w:sz w:val="18"/>
          <w:szCs w:val="18"/>
          <w:lang w:val="en-US" w:eastAsia="zh-CN"/>
        </w:rPr>
        <w:t>说明：1.本表综合反映报告月度对外承包工程项目中方人员构成及变化情况。</w:t>
      </w:r>
    </w:p>
    <w:p w14:paraId="64DB6168">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2.</w:t>
      </w:r>
      <w:r>
        <w:rPr>
          <w:rFonts w:hint="eastAsia" w:ascii="宋体" w:hAnsi="宋体"/>
          <w:bCs/>
          <w:color w:val="auto"/>
          <w:sz w:val="18"/>
          <w:szCs w:val="18"/>
          <w:lang w:eastAsia="zh-CN"/>
        </w:rPr>
        <w:t>本表由对外承包工程企业按照</w:t>
      </w:r>
      <w:r>
        <w:rPr>
          <w:rFonts w:hint="eastAsia" w:ascii="宋体" w:hAnsi="宋体"/>
          <w:bCs/>
          <w:color w:val="auto"/>
          <w:sz w:val="18"/>
          <w:szCs w:val="18"/>
          <w:lang w:val="en-US" w:eastAsia="zh-CN"/>
        </w:rPr>
        <w:t>CB3表、</w:t>
      </w:r>
      <w:r>
        <w:rPr>
          <w:rFonts w:hint="default" w:ascii="宋体" w:hAnsi="宋体"/>
          <w:bCs/>
          <w:color w:val="auto"/>
          <w:sz w:val="18"/>
          <w:szCs w:val="18"/>
          <w:lang w:val="en" w:eastAsia="zh-CN"/>
        </w:rPr>
        <w:t>CB4</w:t>
      </w:r>
      <w:r>
        <w:rPr>
          <w:rFonts w:hint="eastAsia" w:ascii="宋体" w:hAnsi="宋体"/>
          <w:bCs/>
          <w:color w:val="auto"/>
          <w:sz w:val="18"/>
          <w:szCs w:val="18"/>
          <w:lang w:val="en" w:eastAsia="zh-CN"/>
        </w:rPr>
        <w:t>表口径</w:t>
      </w:r>
      <w:r>
        <w:rPr>
          <w:rFonts w:hint="eastAsia" w:ascii="宋体" w:hAnsi="宋体"/>
          <w:bCs/>
          <w:color w:val="auto"/>
          <w:sz w:val="18"/>
          <w:szCs w:val="18"/>
          <w:lang w:eastAsia="zh-CN"/>
        </w:rPr>
        <w:t>于月后10日内报送省级商务主管部门或商务部。</w:t>
      </w:r>
    </w:p>
    <w:p w14:paraId="54ACD75B">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3.本表由企业在统计系统中与CB3表、</w:t>
      </w:r>
      <w:r>
        <w:rPr>
          <w:rFonts w:hint="default" w:ascii="宋体" w:hAnsi="宋体"/>
          <w:bCs/>
          <w:color w:val="auto"/>
          <w:sz w:val="18"/>
          <w:szCs w:val="18"/>
          <w:lang w:val="en" w:eastAsia="zh-CN"/>
        </w:rPr>
        <w:t>CB4</w:t>
      </w:r>
      <w:r>
        <w:rPr>
          <w:rFonts w:hint="eastAsia" w:ascii="宋体" w:hAnsi="宋体"/>
          <w:bCs/>
          <w:color w:val="auto"/>
          <w:sz w:val="18"/>
          <w:szCs w:val="18"/>
          <w:lang w:val="en" w:eastAsia="zh-CN"/>
        </w:rPr>
        <w:t>表一并填报。</w:t>
      </w:r>
    </w:p>
    <w:p w14:paraId="04467F59">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国家（地区）间流动增减：是指已在外的对外承包工程人员从其他国家（地区）项目直接到本项目的人数变化。从其他国家（地区）流入本项目人员计增加（正值），从本项目转到其他国家（地区）承包工程项目人员计减少（负值）。</w:t>
      </w:r>
    </w:p>
    <w:p w14:paraId="0386E3BC">
      <w:pPr>
        <w:ind w:firstLine="540" w:firstLineChars="300"/>
        <w:rPr>
          <w:rFonts w:hint="default" w:ascii="宋体" w:hAnsi="宋体" w:eastAsia="宋体"/>
          <w:bCs/>
          <w:color w:val="auto"/>
          <w:sz w:val="18"/>
          <w:szCs w:val="18"/>
          <w:lang w:val="en-US" w:eastAsia="zh-CN"/>
        </w:rPr>
      </w:pPr>
      <w:r>
        <w:rPr>
          <w:rFonts w:hint="eastAsia" w:ascii="宋体" w:hAnsi="宋体" w:eastAsia="宋体"/>
          <w:bCs/>
          <w:color w:val="auto"/>
          <w:sz w:val="18"/>
          <w:szCs w:val="18"/>
          <w:lang w:val="en-US" w:eastAsia="zh-CN"/>
        </w:rPr>
        <w:t>5.人员行业按照其在境外主要从事职业所属国民经济行业分类目录分别填报（见附录二）</w:t>
      </w:r>
    </w:p>
    <w:p w14:paraId="59D6D791">
      <w:pPr>
        <w:widowControl/>
        <w:ind w:firstLine="810" w:firstLineChars="450"/>
        <w:jc w:val="left"/>
        <w:rPr>
          <w:rFonts w:ascii="宋体" w:hAnsi="宋体"/>
          <w:bCs/>
          <w:color w:val="auto"/>
          <w:sz w:val="18"/>
          <w:szCs w:val="18"/>
        </w:rPr>
      </w:pPr>
    </w:p>
    <w:p w14:paraId="35E620D8">
      <w:pPr>
        <w:widowControl/>
        <w:jc w:val="left"/>
        <w:rPr>
          <w:color w:val="auto"/>
          <w:spacing w:val="8"/>
          <w:sz w:val="18"/>
          <w:szCs w:val="18"/>
        </w:rPr>
      </w:pPr>
    </w:p>
    <w:p w14:paraId="2AB0A113">
      <w:pPr>
        <w:widowControl/>
        <w:spacing w:before="100" w:beforeAutospacing="1" w:after="100" w:afterAutospacing="1" w:line="384" w:lineRule="auto"/>
        <w:ind w:firstLine="360"/>
        <w:jc w:val="center"/>
        <w:rPr>
          <w:rFonts w:ascii="宋体" w:hAnsi="宋体" w:cs="宋体"/>
          <w:b/>
          <w:color w:val="auto"/>
          <w:kern w:val="0"/>
          <w:sz w:val="32"/>
          <w:szCs w:val="32"/>
        </w:rPr>
      </w:pPr>
    </w:p>
    <w:p w14:paraId="470F1DB2">
      <w:pPr>
        <w:jc w:val="center"/>
        <w:outlineLvl w:val="0"/>
        <w:rPr>
          <w:rFonts w:hint="eastAsia" w:ascii="黑体" w:eastAsia="黑体"/>
          <w:color w:val="auto"/>
          <w:sz w:val="32"/>
          <w:szCs w:val="32"/>
        </w:rPr>
      </w:pPr>
      <w:r>
        <w:rPr>
          <w:rFonts w:ascii="宋体" w:hAnsi="宋体" w:cs="宋体"/>
          <w:b/>
          <w:color w:val="auto"/>
          <w:kern w:val="0"/>
          <w:sz w:val="32"/>
          <w:szCs w:val="32"/>
        </w:rPr>
        <w:br w:type="page"/>
      </w:r>
      <w:bookmarkStart w:id="24" w:name="_Toc1675965518"/>
      <w:bookmarkStart w:id="25" w:name="_Toc495119377"/>
      <w:bookmarkStart w:id="26" w:name="_Toc1492077682"/>
      <w:r>
        <w:rPr>
          <w:rFonts w:hint="eastAsia" w:ascii="黑体" w:hAnsi="Calibri" w:eastAsia="黑体" w:cs="Times New Roman"/>
          <w:b w:val="0"/>
          <w:color w:val="auto"/>
          <w:kern w:val="2"/>
          <w:sz w:val="32"/>
          <w:szCs w:val="32"/>
          <w:lang w:eastAsia="zh-CN"/>
        </w:rPr>
        <w:t>四、</w:t>
      </w:r>
      <w:r>
        <w:rPr>
          <w:rFonts w:hint="eastAsia" w:ascii="黑体" w:eastAsia="黑体"/>
          <w:color w:val="auto"/>
          <w:sz w:val="32"/>
          <w:szCs w:val="32"/>
        </w:rPr>
        <w:t>主要指标解释</w:t>
      </w:r>
      <w:bookmarkEnd w:id="24"/>
      <w:bookmarkEnd w:id="25"/>
      <w:bookmarkEnd w:id="26"/>
    </w:p>
    <w:p w14:paraId="3B5210A3">
      <w:pPr>
        <w:keepNext w:val="0"/>
        <w:keepLines w:val="0"/>
        <w:pageBreakBefore w:val="0"/>
        <w:numPr>
          <w:ilvl w:val="0"/>
          <w:numId w:val="0"/>
        </w:numPr>
        <w:kinsoku/>
        <w:wordWrap/>
        <w:overflowPunct/>
        <w:topLinePunct w:val="0"/>
        <w:autoSpaceDE/>
        <w:autoSpaceDN/>
        <w:bidi w:val="0"/>
        <w:adjustRightInd w:val="0"/>
        <w:snapToGrid w:val="0"/>
        <w:spacing w:beforeAutospacing="0"/>
        <w:jc w:val="both"/>
        <w:textAlignment w:val="auto"/>
        <w:rPr>
          <w:rFonts w:hint="eastAsia" w:ascii="黑体" w:eastAsia="黑体"/>
          <w:color w:val="auto"/>
          <w:sz w:val="32"/>
          <w:szCs w:val="32"/>
        </w:rPr>
      </w:pPr>
    </w:p>
    <w:p w14:paraId="17F03052">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360"/>
        <w:jc w:val="left"/>
        <w:textAlignment w:val="auto"/>
        <w:rPr>
          <w:rFonts w:ascii="Times New Roman" w:hAnsi="Times New Roman" w:cs="Times New Roman"/>
          <w:bCs/>
          <w:color w:val="auto"/>
          <w:kern w:val="0"/>
          <w:szCs w:val="21"/>
        </w:rPr>
      </w:pPr>
      <w:r>
        <w:rPr>
          <w:rFonts w:hint="eastAsia" w:ascii="黑体" w:hAnsi="黑体" w:eastAsia="黑体" w:cs="黑体"/>
          <w:b w:val="0"/>
          <w:bCs/>
          <w:color w:val="auto"/>
          <w:kern w:val="0"/>
          <w:szCs w:val="21"/>
        </w:rPr>
        <w:t xml:space="preserve"> </w:t>
      </w:r>
      <w:r>
        <w:rPr>
          <w:rFonts w:hint="default" w:ascii="Times New Roman" w:hAnsi="Times New Roman" w:eastAsia="黑体" w:cs="Times New Roman"/>
          <w:b w:val="0"/>
          <w:bCs/>
          <w:color w:val="auto"/>
          <w:kern w:val="0"/>
          <w:szCs w:val="21"/>
        </w:rPr>
        <w:t>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对外承包工程的界定</w:t>
      </w:r>
      <w:r>
        <w:rPr>
          <w:rFonts w:hint="default" w:ascii="Times New Roman" w:hAnsi="Times New Roman" w:cs="Times New Roman"/>
          <w:b/>
          <w:bCs/>
          <w:color w:val="auto"/>
          <w:kern w:val="0"/>
          <w:szCs w:val="21"/>
          <w:lang w:val="en-US" w:eastAsia="zh-CN"/>
        </w:rPr>
        <w:t xml:space="preserve">  </w:t>
      </w:r>
      <w:r>
        <w:rPr>
          <w:rFonts w:hint="default" w:ascii="Times New Roman" w:hAnsi="Times New Roman" w:cs="Times New Roman"/>
          <w:bCs/>
          <w:color w:val="auto"/>
          <w:kern w:val="0"/>
          <w:szCs w:val="21"/>
        </w:rPr>
        <w:t xml:space="preserve">根据《对外承包工程管理条例》，对外承包工程是指中国的企业或者其他单位承包境外建设工程项目的活动。 </w:t>
      </w:r>
    </w:p>
    <w:p w14:paraId="5290E4A6">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cs="Times New Roman"/>
          <w:bCs/>
          <w:color w:val="auto"/>
          <w:kern w:val="0"/>
          <w:szCs w:val="21"/>
        </w:rPr>
        <w:t>对外承包工程项目分为十一大类：一般建筑项目、工业建设项目、制造加工设施建设项目、水利建设项目、废水（物）处理项目、交通运输建设项目、危险品处理项目、电力工程建设项目、石油化工项目、通讯工程项目、</w:t>
      </w:r>
      <w:r>
        <w:rPr>
          <w:rFonts w:hint="default" w:ascii="Times New Roman" w:hAnsi="Times New Roman" w:cs="Times New Roman"/>
          <w:bCs/>
          <w:color w:val="auto"/>
          <w:kern w:val="0"/>
          <w:szCs w:val="21"/>
          <w:lang w:eastAsia="zh-CN"/>
        </w:rPr>
        <w:t>采矿及</w:t>
      </w:r>
      <w:r>
        <w:rPr>
          <w:rFonts w:hint="default" w:ascii="Times New Roman" w:hAnsi="Times New Roman" w:cs="Times New Roman"/>
          <w:bCs/>
          <w:color w:val="auto"/>
          <w:kern w:val="0"/>
          <w:szCs w:val="21"/>
        </w:rPr>
        <w:t xml:space="preserve">其他。各小类见附录（一）。  </w:t>
      </w:r>
    </w:p>
    <w:p w14:paraId="35709F2F">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统一社会信用代码</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w:t>
      </w:r>
    </w:p>
    <w:p w14:paraId="05DAFA10">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color w:val="auto"/>
          <w:szCs w:val="21"/>
        </w:rPr>
      </w:pPr>
      <w:r>
        <w:rPr>
          <w:rFonts w:hint="default" w:ascii="Times New Roman" w:hAnsi="Times New Roman" w:cs="Times New Roman"/>
          <w:bCs/>
          <w:color w:val="auto"/>
          <w:kern w:val="0"/>
          <w:szCs w:val="21"/>
        </w:rPr>
        <w:t>已经领取了统一社会信用代码的法人单位和产业活动单位必须填写统一社会信用代码。在填写时，要按照《营业执照》（证书）上的统一社会信用代码填写。</w:t>
      </w:r>
    </w:p>
    <w:p w14:paraId="0B5FDA8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企业性质</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指根据企业实收资本中某种经济成分的出资人实际出资情况对企业进行分类，按国家统计局2005年发布的《关于统计上对公有和非公有控股经济的分类办法》执行。</w:t>
      </w:r>
      <w:r>
        <w:rPr>
          <w:rFonts w:hint="default" w:ascii="Times New Roman" w:hAnsi="Times New Roman" w:cs="Times New Roman"/>
          <w:bCs/>
          <w:color w:val="auto"/>
          <w:kern w:val="0"/>
          <w:szCs w:val="21"/>
        </w:rPr>
        <w:t xml:space="preserve"> </w:t>
      </w:r>
    </w:p>
    <w:p w14:paraId="48372FF7">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新签合同额的界定</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指企业在报告期内签订的合法有效的对外承包工程项目合同的金额。 </w:t>
      </w:r>
    </w:p>
    <w:p w14:paraId="00F352F1">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firstLine="218" w:firstLineChars="104"/>
        <w:jc w:val="both"/>
        <w:textAlignment w:val="auto"/>
        <w:rPr>
          <w:rFonts w:hint="default" w:ascii="Times New Roman" w:hAnsi="Times New Roman" w:eastAsia="宋体"/>
          <w:bCs/>
          <w:color w:val="auto"/>
          <w:szCs w:val="21"/>
        </w:rPr>
      </w:pPr>
      <w:r>
        <w:rPr>
          <w:rFonts w:hint="default" w:ascii="Times New Roman" w:hAnsi="Times New Roman"/>
          <w:bCs/>
          <w:color w:val="auto"/>
          <w:szCs w:val="21"/>
        </w:rPr>
        <w:t>（1）对外承包工程项目新签合同额按企业与国（境）外</w:t>
      </w:r>
      <w:r>
        <w:rPr>
          <w:rFonts w:hint="default" w:ascii="Times New Roman" w:hAnsi="Times New Roman" w:eastAsia="宋体"/>
          <w:bCs/>
          <w:color w:val="auto"/>
          <w:szCs w:val="21"/>
        </w:rPr>
        <w:t>业主</w:t>
      </w:r>
      <w:r>
        <w:rPr>
          <w:rFonts w:hint="default" w:ascii="Times New Roman" w:hAnsi="Times New Roman" w:eastAsia="宋体"/>
          <w:bCs/>
          <w:color w:val="auto"/>
          <w:szCs w:val="21"/>
          <w:lang w:val="en-US" w:eastAsia="zh-CN"/>
        </w:rPr>
        <w:t>或外方总包商</w:t>
      </w:r>
      <w:r>
        <w:rPr>
          <w:rFonts w:hint="default" w:ascii="Times New Roman" w:hAnsi="Times New Roman"/>
          <w:bCs/>
          <w:color w:val="auto"/>
          <w:szCs w:val="21"/>
        </w:rPr>
        <w:t>签订的合同文本</w:t>
      </w:r>
      <w:r>
        <w:rPr>
          <w:rFonts w:hint="default" w:ascii="Times New Roman" w:hAnsi="Times New Roman" w:eastAsia="宋体"/>
          <w:bCs/>
          <w:color w:val="auto"/>
          <w:szCs w:val="21"/>
        </w:rPr>
        <w:t>所规定的金额统计</w:t>
      </w:r>
      <w:r>
        <w:rPr>
          <w:rFonts w:hint="default" w:ascii="Times New Roman" w:hAnsi="Times New Roman" w:eastAsia="宋体"/>
          <w:bCs/>
          <w:color w:val="auto"/>
          <w:szCs w:val="21"/>
          <w:lang w:eastAsia="zh-CN"/>
        </w:rPr>
        <w:t>，驻外使领馆建设项目、对外援助工程项目以企业与外交部、商务部签订的合同额折美元计算</w:t>
      </w:r>
      <w:r>
        <w:rPr>
          <w:rFonts w:hint="default" w:ascii="Times New Roman" w:hAnsi="Times New Roman" w:eastAsia="宋体"/>
          <w:bCs/>
          <w:color w:val="auto"/>
          <w:szCs w:val="21"/>
        </w:rPr>
        <w:t>。</w:t>
      </w:r>
    </w:p>
    <w:p w14:paraId="1AEB13C1">
      <w:pPr>
        <w:pStyle w:val="5"/>
        <w:keepNext w:val="0"/>
        <w:keepLines w:val="0"/>
        <w:pageBreakBefore w:val="0"/>
        <w:kinsoku/>
        <w:wordWrap/>
        <w:overflowPunct/>
        <w:topLinePunct w:val="0"/>
        <w:autoSpaceDE/>
        <w:autoSpaceDN/>
        <w:bidi w:val="0"/>
        <w:adjustRightInd w:val="0"/>
        <w:snapToGrid w:val="0"/>
        <w:spacing w:beforeAutospacing="0" w:after="0" w:afterAutospacing="0" w:line="400" w:lineRule="exact"/>
        <w:ind w:left="0" w:leftChars="0" w:firstLine="218" w:firstLineChars="104"/>
        <w:textAlignment w:val="auto"/>
        <w:rPr>
          <w:rFonts w:ascii="Times New Roman" w:hAnsi="Times New Roman"/>
          <w:color w:val="auto"/>
          <w:szCs w:val="21"/>
        </w:rPr>
      </w:pPr>
      <w:r>
        <w:rPr>
          <w:rFonts w:hint="default" w:ascii="Times New Roman" w:hAnsi="Times New Roman"/>
          <w:color w:val="auto"/>
          <w:szCs w:val="21"/>
        </w:rPr>
        <w:t xml:space="preserve">（2）企业必须根据项目的合同文本或其他合法有效文件填报新签合同额，并以合同文本规定的正式生效日期为统计日期。 </w:t>
      </w:r>
    </w:p>
    <w:p w14:paraId="56088E3F">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cs="Times New Roman"/>
          <w:color w:val="auto"/>
          <w:kern w:val="0"/>
          <w:szCs w:val="21"/>
        </w:rPr>
      </w:pPr>
      <w:r>
        <w:rPr>
          <w:rFonts w:hint="default" w:ascii="Times New Roman" w:hAnsi="Times New Roman"/>
          <w:bCs/>
          <w:color w:val="auto"/>
          <w:szCs w:val="21"/>
        </w:rPr>
        <w:t>（3）</w:t>
      </w:r>
      <w:r>
        <w:rPr>
          <w:rFonts w:hint="default" w:ascii="Times New Roman" w:hAnsi="Times New Roman" w:cs="Times New Roman"/>
          <w:bCs/>
          <w:color w:val="auto"/>
          <w:kern w:val="0"/>
          <w:szCs w:val="21"/>
        </w:rPr>
        <w:t>新签合同额以</w:t>
      </w:r>
      <w:r>
        <w:rPr>
          <w:rFonts w:hint="default" w:ascii="Times New Roman" w:hAnsi="Times New Roman" w:cs="Times New Roman"/>
          <w:bCs/>
          <w:color w:val="auto"/>
          <w:kern w:val="0"/>
          <w:szCs w:val="21"/>
          <w:lang w:eastAsia="zh-CN"/>
        </w:rPr>
        <w:t>万</w:t>
      </w:r>
      <w:r>
        <w:rPr>
          <w:rFonts w:hint="default" w:ascii="Times New Roman" w:hAnsi="Times New Roman" w:cs="Times New Roman"/>
          <w:bCs/>
          <w:color w:val="auto"/>
          <w:kern w:val="0"/>
          <w:szCs w:val="21"/>
        </w:rPr>
        <w:t xml:space="preserve">美元作为计算单位。项目合同以非美元计价的，若合同规定了对美元折算率，其新签合同额按合同规定的折算率折合美元计算统计；若合同未规定对美元折算率，须按所签合同生效当日所在国家（地区）官方规定的合同计价货币对美元折算率的中间价折合美元计算统计。 </w:t>
      </w:r>
    </w:p>
    <w:p w14:paraId="7FFD87E2">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（4）企业与国内或国（境）外企业联合中标的项目，其新签合同额按其实际实施的部分计算统计。</w:t>
      </w:r>
    </w:p>
    <w:p w14:paraId="7A6871E2">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（5）企业与国（境）外业主签订项目合同，但施工地点在第三国的，则以施工地点为国别统计该项目。</w:t>
      </w:r>
    </w:p>
    <w:p w14:paraId="042FFCD3">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 xml:space="preserve">（6）以实物形式支付的项目，新签合同额按合同中所列实物的数量乘以报告期内拟销售地市场价格并折合美元计算统计。 </w:t>
      </w:r>
    </w:p>
    <w:p w14:paraId="6C025E55">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（7）当年签订的合同发生变更，应根据业务部门的变更通知，在本年度下一报告期调整合同金额，并加以说明。以往年度的合同发生变更，在本年度和历史统计资料中均不予调整。</w:t>
      </w:r>
    </w:p>
    <w:p w14:paraId="2159858E">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hint="default" w:ascii="Times New Roman" w:hAnsi="Times New Roman" w:eastAsia="宋体"/>
          <w:bCs/>
          <w:color w:val="auto"/>
          <w:szCs w:val="21"/>
        </w:rPr>
      </w:pPr>
      <w:r>
        <w:rPr>
          <w:rFonts w:hint="default" w:ascii="Times New Roman" w:hAnsi="Times New Roman"/>
          <w:bCs/>
          <w:color w:val="auto"/>
          <w:szCs w:val="21"/>
        </w:rPr>
        <w:t>（8）报告期内对往年合同签订补充合同时，</w:t>
      </w:r>
      <w:r>
        <w:rPr>
          <w:rFonts w:hint="default" w:ascii="Times New Roman" w:hAnsi="Times New Roman" w:eastAsia="宋体"/>
          <w:bCs/>
          <w:color w:val="auto"/>
          <w:szCs w:val="21"/>
        </w:rPr>
        <w:t>视同新签合同</w:t>
      </w:r>
      <w:r>
        <w:rPr>
          <w:rFonts w:hint="default" w:ascii="Times New Roman" w:hAnsi="Times New Roman" w:eastAsia="宋体"/>
          <w:bCs/>
          <w:color w:val="auto"/>
          <w:szCs w:val="21"/>
          <w:lang w:eastAsia="zh-CN"/>
        </w:rPr>
        <w:t>，可在现有项目名下新增合同份数和合同额，无需新增项目</w:t>
      </w:r>
      <w:r>
        <w:rPr>
          <w:rFonts w:hint="default" w:ascii="Times New Roman" w:hAnsi="Times New Roman" w:eastAsia="宋体"/>
          <w:bCs/>
          <w:color w:val="auto"/>
          <w:szCs w:val="21"/>
        </w:rPr>
        <w:t xml:space="preserve">。 </w:t>
      </w:r>
    </w:p>
    <w:p w14:paraId="0CC1AD81">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5</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完成营业额的界定</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指企业在报告期内完成的以货币形式表现的工作量。 </w:t>
      </w:r>
    </w:p>
    <w:p w14:paraId="0F83063D">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（1）</w:t>
      </w:r>
      <w:r>
        <w:rPr>
          <w:rFonts w:hint="default" w:ascii="Times New Roman" w:hAnsi="Times New Roman" w:cs="Times New Roman"/>
          <w:bCs/>
          <w:color w:val="auto"/>
          <w:kern w:val="0"/>
          <w:szCs w:val="21"/>
        </w:rPr>
        <w:t xml:space="preserve">对外承包工程项目完成营业额按承包方编制的经现场监理工程师或项目总监审核签字的工程进度证明等计算统计。 </w:t>
      </w:r>
    </w:p>
    <w:p w14:paraId="11D18C43">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（2）</w:t>
      </w:r>
      <w:r>
        <w:rPr>
          <w:rFonts w:hint="default" w:ascii="Times New Roman" w:hAnsi="Times New Roman" w:cs="Times New Roman"/>
          <w:bCs/>
          <w:color w:val="auto"/>
          <w:kern w:val="0"/>
          <w:szCs w:val="21"/>
        </w:rPr>
        <w:t xml:space="preserve">企业必须根据提交给业主据以结算项目款项或反映报告期项目工作量的有效凭证或单据填报完成营业额。 </w:t>
      </w:r>
    </w:p>
    <w:p w14:paraId="355D7A10">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（3）</w:t>
      </w:r>
      <w:r>
        <w:rPr>
          <w:rFonts w:hint="default" w:ascii="Times New Roman" w:hAnsi="Times New Roman" w:cs="Times New Roman"/>
          <w:bCs/>
          <w:color w:val="auto"/>
          <w:kern w:val="0"/>
          <w:szCs w:val="21"/>
        </w:rPr>
        <w:t>完成营业额以</w:t>
      </w:r>
      <w:r>
        <w:rPr>
          <w:rFonts w:hint="default" w:ascii="Times New Roman" w:hAnsi="Times New Roman" w:cs="Times New Roman"/>
          <w:bCs/>
          <w:color w:val="auto"/>
          <w:kern w:val="0"/>
          <w:szCs w:val="21"/>
          <w:lang w:eastAsia="zh-CN"/>
        </w:rPr>
        <w:t>万</w:t>
      </w:r>
      <w:r>
        <w:rPr>
          <w:rFonts w:hint="default" w:ascii="Times New Roman" w:hAnsi="Times New Roman" w:cs="Times New Roman"/>
          <w:bCs/>
          <w:color w:val="auto"/>
          <w:kern w:val="0"/>
          <w:szCs w:val="21"/>
        </w:rPr>
        <w:t>美元作为计算单位。</w:t>
      </w:r>
    </w:p>
    <w:p w14:paraId="1B49E11A">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cs="Times New Roman"/>
          <w:bCs/>
          <w:color w:val="auto"/>
          <w:kern w:val="0"/>
          <w:szCs w:val="21"/>
        </w:rPr>
        <w:t>项目合同以非美元结算的，若合同规定了对美元折算率，其完成营业额按合同中规定的折算率折合美元计算统计；若合同中未规定对美元折算率，须按报告期所在国家（地区）官方规定的合同计价货币对美元折算率的中间价折合美元</w:t>
      </w:r>
      <w:r>
        <w:rPr>
          <w:rFonts w:hint="default" w:ascii="Times New Roman" w:hAnsi="Times New Roman" w:cs="Times New Roman"/>
          <w:bCs/>
          <w:color w:val="auto"/>
          <w:kern w:val="0"/>
          <w:szCs w:val="21"/>
          <w:lang w:eastAsia="zh-CN"/>
        </w:rPr>
        <w:t>的平均汇率</w:t>
      </w:r>
      <w:r>
        <w:rPr>
          <w:rFonts w:hint="default" w:ascii="Times New Roman" w:hAnsi="Times New Roman" w:cs="Times New Roman"/>
          <w:bCs/>
          <w:color w:val="auto"/>
          <w:kern w:val="0"/>
          <w:szCs w:val="21"/>
        </w:rPr>
        <w:t xml:space="preserve">计算统计。 </w:t>
      </w:r>
    </w:p>
    <w:p w14:paraId="151C21F7">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bCs/>
          <w:color w:val="auto"/>
          <w:szCs w:val="21"/>
        </w:rPr>
        <w:t>（4）</w:t>
      </w:r>
      <w:r>
        <w:rPr>
          <w:rFonts w:hint="default" w:ascii="Times New Roman" w:hAnsi="Times New Roman" w:cs="Times New Roman"/>
          <w:bCs/>
          <w:color w:val="auto"/>
          <w:kern w:val="0"/>
          <w:szCs w:val="21"/>
        </w:rPr>
        <w:t xml:space="preserve">企业与国内或国（境）外企业联合中标的项目，其完成营业额按其实际完成的工作量统计。 </w:t>
      </w:r>
    </w:p>
    <w:p w14:paraId="2D08BF42">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6</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对外设计咨询</w:t>
      </w:r>
      <w:r>
        <w:rPr>
          <w:rFonts w:hint="default" w:ascii="Times New Roman" w:hAnsi="Times New Roman" w:eastAsia="黑体" w:cs="Times New Roman"/>
          <w:b/>
          <w:color w:val="auto"/>
          <w:kern w:val="0"/>
          <w:szCs w:val="21"/>
          <w:lang w:val="en-US" w:eastAsia="zh-CN"/>
        </w:rPr>
        <w:t xml:space="preserve">  </w:t>
      </w:r>
      <w:r>
        <w:rPr>
          <w:rStyle w:val="13"/>
          <w:rFonts w:hint="default" w:ascii="Times New Roman" w:hAnsi="Times New Roman" w:eastAsia="宋体" w:cs="Times New Roman"/>
          <w:iCs/>
          <w:color w:val="auto"/>
          <w:kern w:val="0"/>
          <w:sz w:val="21"/>
          <w:szCs w:val="21"/>
          <w:lang w:bidi="ar"/>
        </w:rPr>
        <w:t>是指中国的企业或者其他单位为境外投资建设项目提供咨询和管理服务，开展相关规划、咨询、勘察、设计、造价、监理、项目管理和运营维护等活动，是对外承包工程的重要组成部分。</w:t>
      </w:r>
      <w:r>
        <w:rPr>
          <w:rFonts w:hint="default" w:ascii="Times New Roman" w:hAnsi="Times New Roman" w:eastAsia="宋体" w:cs="Times New Roman"/>
          <w:color w:val="auto"/>
          <w:kern w:val="0"/>
          <w:szCs w:val="21"/>
        </w:rPr>
        <w:t>包括</w:t>
      </w:r>
      <w:r>
        <w:rPr>
          <w:rFonts w:hint="default" w:ascii="Times New Roman" w:hAnsi="Times New Roman" w:cs="Times New Roman"/>
          <w:color w:val="auto"/>
          <w:kern w:val="0"/>
          <w:szCs w:val="21"/>
        </w:rPr>
        <w:t>承担地形地貌测绘，地质资源普查与勘探，建设区域规划，工程设计、生产工艺、技术资料和工程技术咨询，工程项目的可行性考察、研究和评估，工程监理，技术指导等内容。</w:t>
      </w:r>
    </w:p>
    <w:p w14:paraId="76306E6D">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
          <w:color w:val="auto"/>
          <w:kern w:val="0"/>
          <w:szCs w:val="21"/>
        </w:rPr>
      </w:pPr>
      <w:r>
        <w:rPr>
          <w:rFonts w:hint="default" w:ascii="Times New Roman" w:hAnsi="Times New Roman" w:eastAsia="黑体" w:cs="Times New Roman"/>
          <w:b w:val="0"/>
          <w:bCs/>
          <w:color w:val="auto"/>
          <w:kern w:val="0"/>
          <w:szCs w:val="21"/>
        </w:rPr>
        <w:t>7</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项目实施地点</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指实施对外承包工程项目所在国家（地区）的具体省份（州、地区或离项目实施地点最近的城市）。</w:t>
      </w:r>
    </w:p>
    <w:p w14:paraId="382DD2E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default"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8</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对外签约单位</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color w:val="auto"/>
          <w:kern w:val="0"/>
          <w:szCs w:val="21"/>
        </w:rPr>
        <w:t>指与国（境）外业主签订合同的企业。</w:t>
      </w:r>
    </w:p>
    <w:p w14:paraId="1290CAE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default" w:ascii="Times New Roman" w:hAnsi="Times New Roman" w:eastAsia="宋体" w:cs="Times New Roman"/>
          <w:color w:val="auto"/>
          <w:kern w:val="0"/>
          <w:szCs w:val="21"/>
        </w:rPr>
      </w:pPr>
      <w:r>
        <w:rPr>
          <w:rFonts w:hint="default" w:ascii="Times New Roman" w:hAnsi="Times New Roman" w:eastAsia="黑体" w:cs="Times New Roman"/>
          <w:b w:val="0"/>
          <w:bCs/>
          <w:color w:val="auto"/>
          <w:kern w:val="0"/>
          <w:szCs w:val="21"/>
        </w:rPr>
        <w:t>9</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eastAsia="zh-CN"/>
        </w:rPr>
        <w:t>项目生效</w:t>
      </w:r>
      <w:r>
        <w:rPr>
          <w:rFonts w:hint="default" w:ascii="Times New Roman" w:hAnsi="Times New Roman" w:eastAsia="黑体" w:cs="Times New Roman"/>
          <w:b w:val="0"/>
          <w:bCs/>
          <w:color w:val="auto"/>
          <w:kern w:val="0"/>
          <w:szCs w:val="21"/>
        </w:rPr>
        <w:t>日期</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eastAsia="宋体" w:cs="Times New Roman"/>
          <w:color w:val="auto"/>
          <w:kern w:val="0"/>
          <w:szCs w:val="21"/>
        </w:rPr>
        <w:t>指</w:t>
      </w:r>
      <w:r>
        <w:rPr>
          <w:rFonts w:hint="default" w:ascii="Times New Roman" w:hAnsi="Times New Roman" w:eastAsia="宋体" w:cs="Times New Roman"/>
          <w:color w:val="auto"/>
          <w:kern w:val="0"/>
          <w:szCs w:val="21"/>
          <w:lang w:val="en-US" w:eastAsia="zh-CN"/>
        </w:rPr>
        <w:t>工程承包合同约定生效条件成就，合同生效发生效力的日期。</w:t>
      </w:r>
    </w:p>
    <w:p w14:paraId="6AF3AD44">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highlight w:val="none"/>
        </w:rPr>
      </w:pPr>
      <w:r>
        <w:rPr>
          <w:rFonts w:hint="default" w:ascii="Times New Roman" w:hAnsi="Times New Roman" w:eastAsia="黑体" w:cs="Times New Roman"/>
          <w:b w:val="0"/>
          <w:bCs/>
          <w:color w:val="auto"/>
          <w:kern w:val="0"/>
          <w:szCs w:val="21"/>
        </w:rPr>
        <w:t>10</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项目</w:t>
      </w:r>
      <w:r>
        <w:rPr>
          <w:rFonts w:hint="default" w:ascii="Times New Roman" w:hAnsi="Times New Roman" w:eastAsia="黑体" w:cs="Times New Roman"/>
          <w:b w:val="0"/>
          <w:bCs/>
          <w:color w:val="auto"/>
          <w:kern w:val="0"/>
          <w:szCs w:val="21"/>
          <w:lang w:eastAsia="zh-CN"/>
        </w:rPr>
        <w:t>合同工期</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color w:val="auto"/>
          <w:kern w:val="0"/>
          <w:szCs w:val="21"/>
          <w:highlight w:val="none"/>
        </w:rPr>
        <w:t>指</w:t>
      </w:r>
      <w:r>
        <w:rPr>
          <w:rFonts w:hint="default" w:ascii="Times New Roman" w:hAnsi="Times New Roman" w:cs="Times New Roman"/>
          <w:color w:val="auto"/>
          <w:kern w:val="0"/>
          <w:szCs w:val="21"/>
          <w:highlight w:val="none"/>
          <w:lang w:eastAsia="zh-CN"/>
        </w:rPr>
        <w:t>根据对外承包工程项目合同约定的工期折合月数填报</w:t>
      </w:r>
      <w:r>
        <w:rPr>
          <w:rFonts w:hint="default" w:ascii="Times New Roman" w:hAnsi="Times New Roman" w:cs="Times New Roman"/>
          <w:color w:val="auto"/>
          <w:kern w:val="0"/>
          <w:szCs w:val="21"/>
          <w:highlight w:val="none"/>
        </w:rPr>
        <w:t>。</w:t>
      </w:r>
    </w:p>
    <w:p w14:paraId="76056F97">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11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业主</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指与企业签订对外承包工程项目合同的项目发起人。</w:t>
      </w:r>
    </w:p>
    <w:p w14:paraId="412896C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12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外派人数</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指企业在报告期内派往国（境）外执行对外承包工程项目的人数。 </w:t>
      </w:r>
    </w:p>
    <w:p w14:paraId="512B88B6">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13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月末在外人数</w:t>
      </w:r>
      <w:r>
        <w:rPr>
          <w:rFonts w:hint="default" w:ascii="Times New Roman" w:hAnsi="Times New Roman" w:eastAsia="黑体" w:cs="Times New Roman"/>
          <w:color w:val="auto"/>
          <w:kern w:val="0"/>
          <w:szCs w:val="21"/>
          <w:lang w:val="en-US" w:eastAsia="zh-CN"/>
        </w:rPr>
        <w:t xml:space="preserve">  </w:t>
      </w:r>
      <w:r>
        <w:rPr>
          <w:rFonts w:hint="default" w:ascii="Times New Roman" w:hAnsi="Times New Roman" w:cs="Times New Roman"/>
          <w:bCs/>
          <w:color w:val="auto"/>
          <w:kern w:val="0"/>
          <w:szCs w:val="21"/>
        </w:rPr>
        <w:t xml:space="preserve">指报告期末企业在国（境）外执行对外承包工程项目的人数。 </w:t>
      </w:r>
    </w:p>
    <w:p w14:paraId="27F2B90B">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bCs/>
          <w:color w:val="auto"/>
          <w:sz w:val="18"/>
          <w:szCs w:val="18"/>
        </w:rPr>
      </w:pPr>
      <w:r>
        <w:rPr>
          <w:rFonts w:hint="default" w:ascii="Times New Roman" w:hAnsi="Times New Roman" w:eastAsia="黑体" w:cs="Times New Roman"/>
          <w:b w:val="0"/>
          <w:bCs/>
          <w:color w:val="auto"/>
          <w:kern w:val="0"/>
          <w:szCs w:val="21"/>
        </w:rPr>
        <w:t>14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月末雇用项目所在国人员数量</w:t>
      </w:r>
      <w:r>
        <w:rPr>
          <w:rFonts w:hint="default" w:ascii="Times New Roman" w:hAnsi="Times New Roman" w:eastAsia="黑体"/>
          <w:bCs/>
          <w:color w:val="auto"/>
          <w:szCs w:val="21"/>
          <w:lang w:val="en-US" w:eastAsia="zh-CN"/>
        </w:rPr>
        <w:t xml:space="preserve">  </w:t>
      </w:r>
      <w:r>
        <w:rPr>
          <w:rFonts w:hint="default" w:ascii="Times New Roman" w:hAnsi="Times New Roman"/>
          <w:bCs/>
          <w:color w:val="auto"/>
          <w:szCs w:val="21"/>
        </w:rPr>
        <w:t>指报告期末企业在执行国（境）外工程项目中所雇用项目所在国各种劳务人员数量。包括项目的管理、施工、后勤人员等。</w:t>
      </w:r>
      <w:r>
        <w:rPr>
          <w:rFonts w:hint="default" w:ascii="Times New Roman" w:hAnsi="Times New Roman"/>
          <w:bCs/>
          <w:color w:val="auto"/>
          <w:sz w:val="18"/>
          <w:szCs w:val="18"/>
        </w:rPr>
        <w:t xml:space="preserve"> </w:t>
      </w:r>
    </w:p>
    <w:p w14:paraId="795EE62B">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 w:val="18"/>
          <w:szCs w:val="18"/>
        </w:rPr>
      </w:pPr>
      <w:r>
        <w:rPr>
          <w:rFonts w:hint="default" w:ascii="Times New Roman" w:hAnsi="Times New Roman" w:eastAsia="黑体" w:cs="Times New Roman"/>
          <w:b w:val="0"/>
          <w:bCs/>
          <w:color w:val="auto"/>
          <w:kern w:val="0"/>
          <w:szCs w:val="21"/>
        </w:rPr>
        <w:t>15</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月末雇用第三国人员数量</w:t>
      </w:r>
      <w:r>
        <w:rPr>
          <w:rFonts w:hint="default" w:ascii="Times New Roman" w:hAnsi="Times New Roman" w:eastAsia="黑体"/>
          <w:b/>
          <w:bCs/>
          <w:color w:val="auto"/>
          <w:szCs w:val="21"/>
          <w:lang w:val="en-US" w:eastAsia="zh-CN"/>
        </w:rPr>
        <w:t xml:space="preserve">  </w:t>
      </w:r>
      <w:r>
        <w:rPr>
          <w:rFonts w:hint="default" w:ascii="Times New Roman" w:hAnsi="Times New Roman"/>
          <w:bCs/>
          <w:color w:val="auto"/>
          <w:szCs w:val="21"/>
        </w:rPr>
        <w:t>指报告期末企业在执行国（境）外工程项目中所雇用的扣除本国及项目所在国人员以外的各种人员数量。包括项目的管理、施工、后勤人员等。</w:t>
      </w:r>
    </w:p>
    <w:p w14:paraId="3690ADBF">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
          <w:bCs/>
          <w:color w:val="auto"/>
          <w:kern w:val="0"/>
          <w:szCs w:val="21"/>
        </w:rPr>
      </w:pPr>
      <w:r>
        <w:rPr>
          <w:rFonts w:hint="default" w:ascii="Times New Roman" w:hAnsi="Times New Roman" w:eastAsia="黑体" w:cs="Times New Roman"/>
          <w:b w:val="0"/>
          <w:bCs/>
          <w:color w:val="auto"/>
          <w:kern w:val="0"/>
          <w:szCs w:val="21"/>
        </w:rPr>
        <w:t>16</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派出人数、月末在外人数的统计原则</w:t>
      </w:r>
      <w:r>
        <w:rPr>
          <w:rFonts w:hint="default" w:ascii="Times New Roman" w:hAnsi="Times New Roman" w:eastAsia="黑体" w:cs="Times New Roman"/>
          <w:b/>
          <w:bCs/>
          <w:color w:val="auto"/>
          <w:kern w:val="0"/>
          <w:szCs w:val="21"/>
          <w:lang w:val="en-US" w:eastAsia="zh-CN"/>
        </w:rPr>
        <w:t xml:space="preserve"> </w:t>
      </w:r>
      <w:r>
        <w:rPr>
          <w:rFonts w:hint="default" w:ascii="Times New Roman" w:hAnsi="Times New Roman" w:cs="Times New Roman"/>
          <w:b/>
          <w:bCs/>
          <w:color w:val="auto"/>
          <w:kern w:val="0"/>
          <w:szCs w:val="21"/>
        </w:rPr>
        <w:t xml:space="preserve"> </w:t>
      </w:r>
    </w:p>
    <w:p w14:paraId="4FB61E22">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w:t>
      </w:r>
      <w:r>
        <w:rPr>
          <w:rFonts w:hint="default" w:ascii="Times New Roman" w:hAnsi="Times New Roman"/>
          <w:bCs/>
          <w:color w:val="auto"/>
          <w:szCs w:val="21"/>
          <w:lang w:val="en-US" w:eastAsia="zh-CN"/>
        </w:rPr>
        <w:t>1</w:t>
      </w:r>
      <w:r>
        <w:rPr>
          <w:rFonts w:hint="default" w:ascii="Times New Roman" w:hAnsi="Times New Roman"/>
          <w:bCs/>
          <w:color w:val="auto"/>
          <w:szCs w:val="21"/>
        </w:rPr>
        <w:t>）本企业的境外</w:t>
      </w:r>
      <w:r>
        <w:rPr>
          <w:rFonts w:hint="default" w:ascii="Times New Roman" w:hAnsi="Times New Roman" w:cs="Times New Roman"/>
          <w:bCs/>
          <w:color w:val="auto"/>
          <w:kern w:val="0"/>
          <w:szCs w:val="21"/>
        </w:rPr>
        <w:t>企业与对外劳务合作企业</w:t>
      </w:r>
      <w:r>
        <w:rPr>
          <w:rFonts w:hint="default" w:ascii="Times New Roman" w:hAnsi="Times New Roman"/>
          <w:bCs/>
          <w:color w:val="auto"/>
          <w:szCs w:val="21"/>
        </w:rPr>
        <w:t>签订劳务合作合同招用的人员不纳入承包工程外派人员、月末在外人数统计。</w:t>
      </w:r>
    </w:p>
    <w:p w14:paraId="0106B507">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w:t>
      </w:r>
      <w:r>
        <w:rPr>
          <w:rFonts w:hint="default" w:ascii="Times New Roman" w:hAnsi="Times New Roman"/>
          <w:bCs/>
          <w:color w:val="auto"/>
          <w:szCs w:val="21"/>
          <w:lang w:val="en-US" w:eastAsia="zh-CN"/>
        </w:rPr>
        <w:t>2</w:t>
      </w:r>
      <w:r>
        <w:rPr>
          <w:rFonts w:hint="default" w:ascii="Times New Roman" w:hAnsi="Times New Roman"/>
          <w:bCs/>
          <w:color w:val="auto"/>
          <w:szCs w:val="21"/>
        </w:rPr>
        <w:t>）派往境外注册的承包工程项目公司、办事处、代表处</w:t>
      </w:r>
      <w:r>
        <w:rPr>
          <w:rFonts w:hint="default" w:ascii="Times New Roman" w:hAnsi="Times New Roman"/>
          <w:bCs/>
          <w:color w:val="auto"/>
          <w:szCs w:val="21"/>
          <w:lang w:eastAsia="zh-CN"/>
        </w:rPr>
        <w:t>、分公司</w:t>
      </w:r>
      <w:r>
        <w:rPr>
          <w:rFonts w:hint="default" w:ascii="Times New Roman" w:hAnsi="Times New Roman"/>
          <w:bCs/>
          <w:color w:val="auto"/>
          <w:szCs w:val="21"/>
        </w:rPr>
        <w:t>的常驻人员不纳入承包工程外派人员、月末在外人数统计。</w:t>
      </w:r>
    </w:p>
    <w:p w14:paraId="445264CE">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14" w:firstLineChars="245"/>
        <w:jc w:val="left"/>
        <w:textAlignment w:val="auto"/>
        <w:rPr>
          <w:rFonts w:hint="default" w:ascii="Times New Roman" w:hAnsi="Times New Roman"/>
          <w:bCs/>
          <w:color w:val="auto"/>
          <w:szCs w:val="21"/>
        </w:rPr>
      </w:pPr>
      <w:r>
        <w:rPr>
          <w:rFonts w:hint="default" w:ascii="Times New Roman" w:hAnsi="Times New Roman" w:eastAsia="黑体" w:cs="Times New Roman"/>
          <w:b w:val="0"/>
          <w:bCs/>
          <w:color w:val="auto"/>
          <w:kern w:val="0"/>
          <w:szCs w:val="21"/>
        </w:rPr>
        <w:t>1</w:t>
      </w:r>
      <w:r>
        <w:rPr>
          <w:rFonts w:hint="default" w:ascii="Times New Roman" w:hAnsi="Times New Roman" w:eastAsia="黑体" w:cs="Times New Roman"/>
          <w:b w:val="0"/>
          <w:bCs/>
          <w:color w:val="auto"/>
          <w:kern w:val="0"/>
          <w:szCs w:val="21"/>
          <w:lang w:val="en-US" w:eastAsia="zh-CN"/>
        </w:rPr>
        <w:t>7</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境外纳税总额</w:t>
      </w:r>
      <w:r>
        <w:rPr>
          <w:rFonts w:hint="default" w:ascii="Times New Roman" w:hAnsi="Times New Roman"/>
          <w:b/>
          <w:bCs/>
          <w:color w:val="auto"/>
          <w:szCs w:val="21"/>
          <w:lang w:val="en-US" w:eastAsia="zh-CN"/>
        </w:rPr>
        <w:t xml:space="preserve">  </w:t>
      </w:r>
      <w:r>
        <w:rPr>
          <w:rFonts w:hint="default" w:ascii="Times New Roman" w:hAnsi="Times New Roman"/>
          <w:bCs/>
          <w:color w:val="auto"/>
          <w:szCs w:val="21"/>
          <w:lang w:val="en-US" w:eastAsia="zh-CN"/>
        </w:rPr>
        <w:t>指填报单位开展对外承包工程业务在境外缴纳的各类税费总和</w:t>
      </w:r>
      <w:r>
        <w:rPr>
          <w:rFonts w:hint="default" w:ascii="Times New Roman" w:hAnsi="Times New Roman"/>
          <w:bCs/>
          <w:color w:val="auto"/>
          <w:szCs w:val="21"/>
        </w:rPr>
        <w:t>。</w:t>
      </w:r>
    </w:p>
    <w:p w14:paraId="266DEC49">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ascii="Times New Roman" w:hAnsi="Times New Roman"/>
          <w:bCs/>
          <w:color w:val="auto"/>
          <w:szCs w:val="21"/>
        </w:rPr>
      </w:pPr>
      <w:r>
        <w:rPr>
          <w:rFonts w:hint="default" w:ascii="Times New Roman" w:hAnsi="Times New Roman"/>
          <w:bCs/>
          <w:color w:val="auto"/>
          <w:szCs w:val="21"/>
        </w:rPr>
        <w:t xml:space="preserve">    </w:t>
      </w:r>
      <w:r>
        <w:rPr>
          <w:rFonts w:hint="default" w:ascii="Times New Roman" w:hAnsi="Times New Roman" w:eastAsia="黑体" w:cs="Times New Roman"/>
          <w:b w:val="0"/>
          <w:bCs/>
          <w:color w:val="auto"/>
          <w:kern w:val="0"/>
          <w:szCs w:val="21"/>
        </w:rPr>
        <w:t xml:space="preserve"> 1</w:t>
      </w:r>
      <w:r>
        <w:rPr>
          <w:rFonts w:hint="default" w:ascii="Times New Roman" w:hAnsi="Times New Roman" w:eastAsia="黑体" w:cs="Times New Roman"/>
          <w:b w:val="0"/>
          <w:bCs/>
          <w:color w:val="auto"/>
          <w:kern w:val="0"/>
          <w:szCs w:val="21"/>
          <w:lang w:val="en-US" w:eastAsia="zh-CN"/>
        </w:rPr>
        <w:t>8</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承包工程项目承包方式</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olor w:val="auto"/>
          <w:szCs w:val="21"/>
        </w:rPr>
        <w:t>包括（1）传统承包方式，包括施工或总承包（含设计-建造、设计-采购-施工）；（2）融资模式，指承包商提供融资服务的承包、总承包（如设计-采购-施工+融资）；（3）投资模式，包括特许经营类、公私合营</w:t>
      </w:r>
      <w:r>
        <w:rPr>
          <w:rFonts w:hint="default" w:ascii="Times New Roman" w:hAnsi="Times New Roman"/>
          <w:color w:val="auto"/>
          <w:szCs w:val="21"/>
          <w:lang w:eastAsia="zh-CN"/>
        </w:rPr>
        <w:t>、中方小比例投资</w:t>
      </w:r>
      <w:r>
        <w:rPr>
          <w:rFonts w:hint="default" w:ascii="Times New Roman" w:hAnsi="Times New Roman"/>
          <w:color w:val="auto"/>
          <w:szCs w:val="21"/>
        </w:rPr>
        <w:t>类；（4）其他，上述三种模式以外的其他方式</w:t>
      </w:r>
      <w:r>
        <w:rPr>
          <w:rFonts w:hint="default" w:ascii="Times New Roman" w:hAnsi="Times New Roman"/>
          <w:bCs/>
          <w:color w:val="auto"/>
          <w:szCs w:val="21"/>
        </w:rPr>
        <w:t>。</w:t>
      </w:r>
    </w:p>
    <w:p w14:paraId="7FE1D52E">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eastAsia="宋体"/>
          <w:color w:val="auto"/>
          <w:szCs w:val="21"/>
        </w:rPr>
      </w:pPr>
      <w:r>
        <w:rPr>
          <w:rFonts w:hint="default" w:ascii="Times New Roman" w:hAnsi="Times New Roman" w:eastAsia="黑体" w:cs="Times New Roman"/>
          <w:b w:val="0"/>
          <w:bCs/>
          <w:color w:val="auto"/>
          <w:kern w:val="0"/>
          <w:szCs w:val="21"/>
          <w:lang w:val="en-US" w:eastAsia="zh-CN"/>
        </w:rPr>
        <w:t>19</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分包项目获取方式  </w:t>
      </w:r>
      <w:r>
        <w:rPr>
          <w:rFonts w:hint="default" w:ascii="Times New Roman" w:hAnsi="Times New Roman" w:eastAsia="宋体"/>
          <w:color w:val="auto"/>
          <w:szCs w:val="21"/>
        </w:rPr>
        <w:t>包括（1）从上级企业集团以委托协议（合同）获取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（2）从成员企业以委托协议（合同）获取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（3）通过与其他工程企业签订委托协议（合同）获取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（4）其他方式获取（请备注说明）。</w:t>
      </w:r>
    </w:p>
    <w:p w14:paraId="0E4D96F6">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ascii="Times New Roman" w:hAnsi="Times New Roman"/>
          <w:bCs/>
          <w:color w:val="auto"/>
          <w:szCs w:val="21"/>
        </w:rPr>
      </w:pPr>
      <w:r>
        <w:rPr>
          <w:rFonts w:hint="default" w:ascii="Times New Roman" w:hAnsi="Times New Roman" w:eastAsia="黑体" w:cs="Times New Roman"/>
          <w:b w:val="0"/>
          <w:bCs/>
          <w:color w:val="auto"/>
          <w:kern w:val="0"/>
          <w:szCs w:val="21"/>
          <w:lang w:val="en-US" w:eastAsia="zh-CN"/>
        </w:rPr>
        <w:t>20</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承包工程项目的资金来源</w:t>
      </w:r>
      <w:r>
        <w:rPr>
          <w:rFonts w:hint="default" w:ascii="Times New Roman" w:hAnsi="Times New Roman" w:eastAsia="黑体"/>
          <w:bCs/>
          <w:color w:val="auto"/>
          <w:szCs w:val="21"/>
          <w:lang w:val="en-US" w:eastAsia="zh-CN"/>
        </w:rPr>
        <w:t xml:space="preserve">  </w:t>
      </w:r>
      <w:r>
        <w:rPr>
          <w:rFonts w:hint="default" w:ascii="Times New Roman" w:hAnsi="Times New Roman"/>
          <w:bCs/>
          <w:color w:val="auto"/>
          <w:szCs w:val="21"/>
        </w:rPr>
        <w:t>指企业承揽工程项目的工程款的主要来源，包括：业主自筹、项目所在国政府资金、国际金融机构拨款、援外优惠贷款、优惠出口买方信贷、国内商业性质出口买方信贷、国内出口卖方信贷、</w:t>
      </w:r>
      <w:r>
        <w:rPr>
          <w:rFonts w:hint="default" w:ascii="Times New Roman" w:hAnsi="Times New Roman"/>
          <w:bCs/>
          <w:color w:val="auto"/>
          <w:szCs w:val="21"/>
          <w:lang w:eastAsia="zh-CN"/>
        </w:rPr>
        <w:t>中资企业参与投资、以资源换项目、</w:t>
      </w:r>
      <w:r>
        <w:rPr>
          <w:rFonts w:hint="default" w:ascii="Times New Roman" w:hAnsi="Times New Roman"/>
          <w:bCs/>
          <w:color w:val="auto"/>
          <w:szCs w:val="21"/>
        </w:rPr>
        <w:t>其他等。</w:t>
      </w:r>
    </w:p>
    <w:p w14:paraId="0266B934">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hint="default" w:ascii="Times New Roman" w:hAnsi="Times New Roman" w:eastAsia="黑体" w:cs="Times New Roman"/>
          <w:b w:val="0"/>
          <w:bCs/>
          <w:color w:val="auto"/>
          <w:kern w:val="0"/>
          <w:szCs w:val="21"/>
          <w:lang w:val="en-US" w:eastAsia="zh-CN"/>
        </w:rPr>
      </w:pPr>
      <w:r>
        <w:rPr>
          <w:rFonts w:hint="default" w:ascii="Times New Roman" w:hAnsi="Times New Roman" w:eastAsia="黑体" w:cs="Times New Roman"/>
          <w:b w:val="0"/>
          <w:bCs/>
          <w:color w:val="auto"/>
          <w:kern w:val="0"/>
          <w:szCs w:val="21"/>
          <w:lang w:val="en-US" w:eastAsia="zh-CN"/>
        </w:rPr>
        <w:t>21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承包工程项目分类的确定 </w:t>
      </w:r>
    </w:p>
    <w:p w14:paraId="56C8E72F">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（1）如同一项目涉及两个或以上的项目大类，合同额可以根据合同文本进行拆分的，则分别进行分类项目统计。</w:t>
      </w:r>
    </w:p>
    <w:p w14:paraId="45D5BA74">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（2）如同一项目涉及两个或以上的项目大类，合同额无法根据合同额进行拆分的，则按项目主要类别（即合同文本中合同额比重最大的）进行工程项目分类统计。</w:t>
      </w:r>
    </w:p>
    <w:p w14:paraId="0721829A">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（3）与采矿业相关的地质勘察（含数据采集等）纳入“</w:t>
      </w:r>
      <w:r>
        <w:rPr>
          <w:rFonts w:hint="default" w:ascii="Times New Roman" w:hAnsi="Times New Roman"/>
          <w:bCs/>
          <w:color w:val="auto"/>
          <w:szCs w:val="21"/>
          <w:lang w:eastAsia="zh-CN"/>
        </w:rPr>
        <w:t>采矿及</w:t>
      </w:r>
      <w:r>
        <w:rPr>
          <w:rFonts w:hint="default" w:ascii="Times New Roman" w:hAnsi="Times New Roman"/>
          <w:bCs/>
          <w:color w:val="auto"/>
          <w:szCs w:val="21"/>
        </w:rPr>
        <w:t>其他”工程项目类别进行统计。</w:t>
      </w:r>
    </w:p>
    <w:p w14:paraId="58EE4EB1">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（4）矿山工程建筑（含坑道、隧道、井道的挖掘、搭建等）项目纳入“</w:t>
      </w:r>
      <w:r>
        <w:rPr>
          <w:rFonts w:hint="default" w:ascii="Times New Roman" w:hAnsi="Times New Roman"/>
          <w:bCs/>
          <w:color w:val="auto"/>
          <w:szCs w:val="21"/>
          <w:lang w:eastAsia="zh-CN"/>
        </w:rPr>
        <w:t>采矿及</w:t>
      </w:r>
      <w:r>
        <w:rPr>
          <w:rFonts w:hint="default" w:ascii="Times New Roman" w:hAnsi="Times New Roman"/>
          <w:bCs/>
          <w:color w:val="auto"/>
          <w:szCs w:val="21"/>
        </w:rPr>
        <w:t>其他”工程项目类别进行统计。</w:t>
      </w:r>
    </w:p>
    <w:p w14:paraId="318362BD">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hint="default" w:ascii="Times New Roman" w:hAnsi="Times New Roman" w:eastAsia="黑体" w:cs="Times New Roman"/>
          <w:b/>
          <w:bCs/>
          <w:color w:val="auto"/>
          <w:kern w:val="0"/>
          <w:szCs w:val="21"/>
          <w:highlight w:val="none"/>
          <w:lang w:eastAsia="zh-CN"/>
        </w:rPr>
      </w:pPr>
      <w:r>
        <w:rPr>
          <w:rFonts w:hint="default" w:ascii="Times New Roman" w:hAnsi="Times New Roman" w:eastAsia="黑体" w:cs="Times New Roman"/>
          <w:b w:val="0"/>
          <w:bCs/>
          <w:color w:val="auto"/>
          <w:kern w:val="0"/>
          <w:szCs w:val="21"/>
          <w:lang w:val="en-US" w:eastAsia="zh-CN"/>
        </w:rPr>
        <w:t>22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节能环保清洁类项目分类的确定</w:t>
      </w:r>
      <w:r>
        <w:rPr>
          <w:rFonts w:hint="default" w:ascii="Times New Roman" w:hAnsi="Times New Roman" w:eastAsia="黑体" w:cs="Times New Roman"/>
          <w:b/>
          <w:bCs/>
          <w:color w:val="auto"/>
          <w:kern w:val="0"/>
          <w:szCs w:val="21"/>
          <w:highlight w:val="none"/>
          <w:lang w:val="en-US" w:eastAsia="zh-CN"/>
        </w:rPr>
        <w:t xml:space="preserve"> </w:t>
      </w:r>
    </w:p>
    <w:p w14:paraId="3921EDD9">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color w:val="auto"/>
          <w:kern w:val="0"/>
          <w:szCs w:val="21"/>
        </w:rPr>
      </w:pPr>
      <w:r>
        <w:rPr>
          <w:rFonts w:hint="default" w:ascii="Times New Roman" w:hAnsi="Times New Roman" w:cs="Times New Roman"/>
          <w:color w:val="auto"/>
          <w:kern w:val="0"/>
          <w:szCs w:val="21"/>
        </w:rPr>
        <w:t>商务部根据国家统计局节能环保清洁产业统计分类（2021），结合目前对外承包工程项目分类标准形成对外承包节能环保清洁类项目分类。主要包括水利建设项目中的水处理、海水淡化厂(水资源循环利用）项目；废水（物）处理项目；危险品处理项目；电力工程建设中涉及核电、水电、太阳能发电、风电、生物质能相关项目的发电运营、工程施工与技术服务，以及传统能源清洁运营、工程施工与技术服务、智能电网输配电工程等。</w:t>
      </w:r>
    </w:p>
    <w:p w14:paraId="4DCD5E83">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lang w:val="en-US" w:eastAsia="zh-CN"/>
        </w:rPr>
        <w:t>23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线路总里程  </w:t>
      </w:r>
      <w:r>
        <w:rPr>
          <w:rFonts w:hint="default" w:ascii="Times New Roman" w:hAnsi="Times New Roman" w:cs="Times New Roman"/>
          <w:bCs/>
          <w:color w:val="auto"/>
          <w:kern w:val="0"/>
          <w:szCs w:val="21"/>
        </w:rPr>
        <w:t>指合同文本规定的公路、铁路项目的路面或铺轨总长度（包括桥梁、隧道等），以“公里”作为统计单位。</w:t>
      </w:r>
    </w:p>
    <w:p w14:paraId="33D01C51">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2</w:t>
      </w:r>
      <w:r>
        <w:rPr>
          <w:rFonts w:hint="default" w:ascii="Times New Roman" w:hAnsi="Times New Roman" w:eastAsia="黑体" w:cs="Times New Roman"/>
          <w:b w:val="0"/>
          <w:bCs/>
          <w:color w:val="auto"/>
          <w:kern w:val="0"/>
          <w:szCs w:val="21"/>
          <w:lang w:val="en-US" w:eastAsia="zh-CN"/>
        </w:rPr>
        <w:t>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装机容量</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指该电站</w:t>
      </w:r>
      <w:r>
        <w:rPr>
          <w:rFonts w:ascii="Times New Roman" w:hAnsi="Times New Roman" w:cs="Times New Roman"/>
          <w:bCs/>
          <w:color w:val="auto"/>
          <w:kern w:val="0"/>
          <w:szCs w:val="21"/>
        </w:rPr>
        <w:t>系统</w:t>
      </w:r>
      <w:r>
        <w:rPr>
          <w:rFonts w:hint="default" w:ascii="Times New Roman" w:hAnsi="Times New Roman" w:cs="Times New Roman"/>
          <w:bCs/>
          <w:color w:val="auto"/>
          <w:kern w:val="0"/>
          <w:szCs w:val="21"/>
        </w:rPr>
        <w:t>按合同文本规定</w:t>
      </w:r>
      <w:r>
        <w:rPr>
          <w:rFonts w:ascii="Times New Roman" w:hAnsi="Times New Roman" w:cs="Times New Roman"/>
          <w:bCs/>
          <w:color w:val="auto"/>
          <w:kern w:val="0"/>
          <w:szCs w:val="21"/>
        </w:rPr>
        <w:t>安装</w:t>
      </w:r>
      <w:r>
        <w:rPr>
          <w:rFonts w:hint="default" w:ascii="Times New Roman" w:hAnsi="Times New Roman" w:cs="Times New Roman"/>
          <w:bCs/>
          <w:color w:val="auto"/>
          <w:kern w:val="0"/>
          <w:szCs w:val="21"/>
        </w:rPr>
        <w:t>达到的发电机组</w:t>
      </w:r>
      <w:r>
        <w:rPr>
          <w:rFonts w:ascii="Times New Roman" w:hAnsi="Times New Roman" w:cs="Times New Roman"/>
          <w:bCs/>
          <w:color w:val="auto"/>
          <w:kern w:val="0"/>
          <w:szCs w:val="21"/>
        </w:rPr>
        <w:t>额定有功功率的总和</w:t>
      </w:r>
      <w:r>
        <w:rPr>
          <w:rFonts w:hint="default" w:ascii="Times New Roman" w:hAnsi="Times New Roman" w:cs="Times New Roman"/>
          <w:bCs/>
          <w:color w:val="auto"/>
          <w:kern w:val="0"/>
          <w:szCs w:val="21"/>
        </w:rPr>
        <w:t>。</w:t>
      </w:r>
    </w:p>
    <w:p w14:paraId="05936DAF">
      <w:pPr>
        <w:widowControl/>
        <w:spacing w:before="100" w:beforeAutospacing="1" w:line="360" w:lineRule="auto"/>
        <w:jc w:val="center"/>
        <w:outlineLvl w:val="0"/>
        <w:rPr>
          <w:rFonts w:hint="eastAsia" w:ascii="黑体" w:hAnsi="黑体" w:eastAsia="黑体" w:cs="黑体"/>
          <w:b w:val="0"/>
          <w:bCs/>
          <w:color w:val="auto"/>
          <w:kern w:val="0"/>
          <w:sz w:val="32"/>
          <w:szCs w:val="32"/>
        </w:rPr>
      </w:pPr>
      <w:r>
        <w:rPr>
          <w:rFonts w:ascii="宋体" w:hAnsi="宋体" w:cs="宋体"/>
          <w:b/>
          <w:color w:val="auto"/>
          <w:kern w:val="0"/>
          <w:sz w:val="32"/>
          <w:szCs w:val="32"/>
        </w:rPr>
        <w:br w:type="page"/>
      </w:r>
      <w:bookmarkStart w:id="27" w:name="_Toc805365395"/>
      <w:bookmarkStart w:id="28" w:name="_Toc1612044519"/>
      <w:bookmarkStart w:id="29" w:name="_Toc1557341096"/>
      <w:r>
        <w:rPr>
          <w:rFonts w:hint="eastAsia" w:ascii="黑体" w:hAnsi="黑体" w:eastAsia="黑体" w:cs="黑体"/>
          <w:b w:val="0"/>
          <w:bCs/>
          <w:color w:val="auto"/>
          <w:kern w:val="0"/>
          <w:sz w:val="32"/>
          <w:szCs w:val="32"/>
        </w:rPr>
        <w:t>五、附</w:t>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rPr>
        <w:t>录</w:t>
      </w:r>
      <w:bookmarkEnd w:id="27"/>
      <w:bookmarkEnd w:id="28"/>
      <w:bookmarkEnd w:id="29"/>
    </w:p>
    <w:p w14:paraId="3D70B2AF">
      <w:pPr>
        <w:jc w:val="center"/>
        <w:outlineLvl w:val="1"/>
        <w:rPr>
          <w:rFonts w:hint="eastAsia" w:ascii="宋体" w:hAnsi="宋体" w:cs="宋体"/>
          <w:b w:val="0"/>
          <w:bCs/>
          <w:color w:val="auto"/>
          <w:kern w:val="0"/>
          <w:sz w:val="32"/>
          <w:szCs w:val="32"/>
        </w:rPr>
      </w:pPr>
      <w:bookmarkStart w:id="30" w:name="_Toc505157244"/>
      <w:bookmarkStart w:id="31" w:name="_Toc1325658118"/>
      <w:r>
        <w:rPr>
          <w:rFonts w:hint="eastAsia" w:ascii="宋体" w:hAnsi="宋体" w:cs="宋体"/>
          <w:b w:val="0"/>
          <w:bCs/>
          <w:color w:val="auto"/>
          <w:kern w:val="0"/>
          <w:sz w:val="32"/>
          <w:szCs w:val="32"/>
        </w:rPr>
        <w:t>（一）对外承包工程项目分类</w:t>
      </w:r>
      <w:bookmarkEnd w:id="30"/>
    </w:p>
    <w:p w14:paraId="71182F63">
      <w:pPr>
        <w:jc w:val="center"/>
        <w:outlineLvl w:val="1"/>
        <w:rPr>
          <w:rFonts w:ascii="宋体" w:hAnsi="宋体" w:cs="宋体"/>
          <w:b w:val="0"/>
          <w:bCs/>
          <w:color w:val="auto"/>
          <w:kern w:val="0"/>
          <w:sz w:val="21"/>
          <w:szCs w:val="21"/>
        </w:rPr>
      </w:pPr>
      <w:bookmarkStart w:id="32" w:name="_Toc813450120"/>
      <w:r>
        <w:rPr>
          <w:rFonts w:hint="eastAsia" w:ascii="宋体" w:hAnsi="宋体" w:cs="宋体"/>
          <w:b w:val="0"/>
          <w:bCs/>
          <w:color w:val="auto"/>
          <w:kern w:val="0"/>
          <w:sz w:val="21"/>
          <w:szCs w:val="21"/>
        </w:rPr>
        <w:t>（标准参照：国际工程新闻记录）</w:t>
      </w:r>
      <w:bookmarkEnd w:id="31"/>
      <w:bookmarkEnd w:id="32"/>
    </w:p>
    <w:tbl>
      <w:tblPr>
        <w:tblStyle w:val="11"/>
        <w:tblW w:w="8962" w:type="dxa"/>
        <w:tblInd w:w="415" w:type="dxa"/>
        <w:tblLayout w:type="autofit"/>
        <w:tblCellMar>
          <w:top w:w="0" w:type="dxa"/>
          <w:left w:w="108" w:type="dxa"/>
          <w:bottom w:w="0" w:type="dxa"/>
          <w:right w:w="108" w:type="dxa"/>
        </w:tblCellMar>
      </w:tblPr>
      <w:tblGrid>
        <w:gridCol w:w="1740"/>
        <w:gridCol w:w="7222"/>
      </w:tblGrid>
      <w:tr w14:paraId="304805D8">
        <w:tblPrEx>
          <w:tblCellMar>
            <w:top w:w="0" w:type="dxa"/>
            <w:left w:w="108" w:type="dxa"/>
            <w:bottom w:w="0" w:type="dxa"/>
            <w:right w:w="108" w:type="dxa"/>
          </w:tblCellMar>
        </w:tblPrEx>
        <w:trPr>
          <w:trHeight w:val="510" w:hRule="atLeast"/>
        </w:trPr>
        <w:tc>
          <w:tcPr>
            <w:tcW w:w="1740" w:type="dxa"/>
            <w:tcBorders>
              <w:top w:val="nil"/>
              <w:left w:val="nil"/>
              <w:bottom w:val="nil"/>
              <w:right w:val="nil"/>
            </w:tcBorders>
            <w:noWrap w:val="0"/>
            <w:vAlign w:val="center"/>
          </w:tcPr>
          <w:p w14:paraId="1996B57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项目类别代码</w:t>
            </w:r>
          </w:p>
        </w:tc>
        <w:tc>
          <w:tcPr>
            <w:tcW w:w="7222" w:type="dxa"/>
            <w:vMerge w:val="restart"/>
            <w:tcBorders>
              <w:top w:val="nil"/>
              <w:left w:val="nil"/>
              <w:bottom w:val="nil"/>
              <w:right w:val="nil"/>
            </w:tcBorders>
            <w:noWrap w:val="0"/>
            <w:vAlign w:val="center"/>
          </w:tcPr>
          <w:p w14:paraId="0AEF53A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类别名称</w:t>
            </w:r>
          </w:p>
        </w:tc>
      </w:tr>
      <w:tr w14:paraId="543FC209">
        <w:tblPrEx>
          <w:tblCellMar>
            <w:top w:w="0" w:type="dxa"/>
            <w:left w:w="108" w:type="dxa"/>
            <w:bottom w:w="0" w:type="dxa"/>
            <w:right w:w="108" w:type="dxa"/>
          </w:tblCellMar>
        </w:tblPrEx>
        <w:trPr>
          <w:trHeight w:val="270" w:hRule="atLeast"/>
        </w:trPr>
        <w:tc>
          <w:tcPr>
            <w:tcW w:w="1740" w:type="dxa"/>
            <w:tcBorders>
              <w:top w:val="nil"/>
              <w:left w:val="nil"/>
              <w:bottom w:val="nil"/>
              <w:right w:val="nil"/>
            </w:tcBorders>
            <w:noWrap w:val="0"/>
            <w:vAlign w:val="center"/>
          </w:tcPr>
          <w:p w14:paraId="0D542AD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（大类、小类）</w:t>
            </w:r>
          </w:p>
        </w:tc>
        <w:tc>
          <w:tcPr>
            <w:tcW w:w="7222" w:type="dxa"/>
            <w:vMerge w:val="continue"/>
            <w:tcBorders>
              <w:top w:val="nil"/>
              <w:left w:val="nil"/>
              <w:bottom w:val="nil"/>
              <w:right w:val="nil"/>
            </w:tcBorders>
            <w:noWrap w:val="0"/>
            <w:vAlign w:val="center"/>
          </w:tcPr>
          <w:p w14:paraId="0B914B3E">
            <w:pPr>
              <w:keepNext w:val="0"/>
              <w:keepLines w:val="0"/>
              <w:pageBreakBefore w:val="0"/>
              <w:kinsoku/>
              <w:wordWrap/>
              <w:overflowPunct/>
              <w:topLinePunct w:val="0"/>
              <w:autoSpaceDE/>
              <w:autoSpaceDN/>
              <w:bidi w:val="0"/>
              <w:adjustRightInd w:val="0"/>
              <w:snapToGrid w:val="0"/>
              <w:spacing w:line="240" w:lineRule="exact"/>
              <w:jc w:val="center"/>
              <w:rPr>
                <w:rFonts w:ascii="宋体" w:hAnsi="宋体" w:eastAsia="宋体" w:cs="宋体"/>
                <w:b/>
                <w:color w:val="auto"/>
                <w:szCs w:val="21"/>
              </w:rPr>
            </w:pPr>
          </w:p>
        </w:tc>
      </w:tr>
      <w:tr w14:paraId="5773ED4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2569E8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A</w:t>
            </w:r>
          </w:p>
        </w:tc>
        <w:tc>
          <w:tcPr>
            <w:tcW w:w="7222" w:type="dxa"/>
            <w:tcBorders>
              <w:top w:val="nil"/>
              <w:left w:val="nil"/>
              <w:bottom w:val="nil"/>
              <w:right w:val="nil"/>
            </w:tcBorders>
            <w:noWrap w:val="0"/>
            <w:vAlign w:val="center"/>
          </w:tcPr>
          <w:p w14:paraId="21320A2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一般建筑项目</w:t>
            </w:r>
          </w:p>
        </w:tc>
      </w:tr>
      <w:tr w14:paraId="1E9D05D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731760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1DFAF27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商用建筑（包括用于商业活动的商场、市场以及商用办公楼等）</w:t>
            </w:r>
          </w:p>
        </w:tc>
      </w:tr>
      <w:tr w14:paraId="744E8BB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0C10E8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02D2830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政府办公设施</w:t>
            </w:r>
          </w:p>
        </w:tc>
      </w:tr>
      <w:tr w14:paraId="6E23E2C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0721F6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077A256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教育用设施（包括幼儿园、学校等）</w:t>
            </w:r>
          </w:p>
        </w:tc>
      </w:tr>
      <w:tr w14:paraId="1097B4B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82B0F8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243ADE1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监狱惩戒机构</w:t>
            </w:r>
          </w:p>
        </w:tc>
      </w:tr>
      <w:tr w14:paraId="117EF76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A4FF9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3F8DFF1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卫生保健机构（包括医院以及与卫生保健相关的场所建设）</w:t>
            </w:r>
          </w:p>
        </w:tc>
      </w:tr>
      <w:tr w14:paraId="6808921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0BEFA6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5EBDBD8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物流分销、仓储设施（包括各类仓库、商品分拨中心等）</w:t>
            </w:r>
          </w:p>
        </w:tc>
      </w:tr>
      <w:tr w14:paraId="5472F0E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CB1460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122C896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酒店、汽车旅馆、会展中心</w:t>
            </w:r>
          </w:p>
        </w:tc>
      </w:tr>
      <w:tr w14:paraId="1BCE24C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2D1DE3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8</w:t>
            </w:r>
          </w:p>
        </w:tc>
        <w:tc>
          <w:tcPr>
            <w:tcW w:w="7222" w:type="dxa"/>
            <w:tcBorders>
              <w:top w:val="nil"/>
              <w:left w:val="nil"/>
              <w:bottom w:val="nil"/>
              <w:right w:val="nil"/>
            </w:tcBorders>
            <w:noWrap w:val="0"/>
            <w:vAlign w:val="center"/>
          </w:tcPr>
          <w:p w14:paraId="50557AA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多户单元住宅（包括供多户居民居住的住宅、公寓等）</w:t>
            </w:r>
          </w:p>
        </w:tc>
      </w:tr>
      <w:tr w14:paraId="2834EEF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826CA7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9</w:t>
            </w:r>
          </w:p>
        </w:tc>
        <w:tc>
          <w:tcPr>
            <w:tcW w:w="7222" w:type="dxa"/>
            <w:tcBorders>
              <w:top w:val="nil"/>
              <w:left w:val="nil"/>
              <w:bottom w:val="nil"/>
              <w:right w:val="nil"/>
            </w:tcBorders>
            <w:noWrap w:val="0"/>
            <w:vAlign w:val="center"/>
          </w:tcPr>
          <w:p w14:paraId="685E789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体育设施（包括体育场、运动中心等）</w:t>
            </w:r>
          </w:p>
        </w:tc>
      </w:tr>
      <w:tr w14:paraId="785FAB7A">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ABE11C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10</w:t>
            </w:r>
          </w:p>
        </w:tc>
        <w:tc>
          <w:tcPr>
            <w:tcW w:w="7222" w:type="dxa"/>
            <w:tcBorders>
              <w:top w:val="nil"/>
              <w:left w:val="nil"/>
              <w:bottom w:val="nil"/>
              <w:right w:val="nil"/>
            </w:tcBorders>
            <w:noWrap w:val="0"/>
            <w:vAlign w:val="center"/>
          </w:tcPr>
          <w:p w14:paraId="3A0C625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游乐场所、主题公园</w:t>
            </w:r>
          </w:p>
        </w:tc>
      </w:tr>
      <w:tr w14:paraId="676C768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24EEA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11</w:t>
            </w:r>
          </w:p>
        </w:tc>
        <w:tc>
          <w:tcPr>
            <w:tcW w:w="7222" w:type="dxa"/>
            <w:tcBorders>
              <w:top w:val="nil"/>
              <w:left w:val="nil"/>
              <w:bottom w:val="nil"/>
              <w:right w:val="nil"/>
            </w:tcBorders>
            <w:noWrap w:val="0"/>
            <w:vAlign w:val="center"/>
          </w:tcPr>
          <w:p w14:paraId="0E23184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宗教和文化设施</w:t>
            </w:r>
          </w:p>
        </w:tc>
      </w:tr>
      <w:tr w14:paraId="092A5B6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10F7BA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12</w:t>
            </w:r>
          </w:p>
        </w:tc>
        <w:tc>
          <w:tcPr>
            <w:tcW w:w="7222" w:type="dxa"/>
            <w:tcBorders>
              <w:top w:val="nil"/>
              <w:left w:val="nil"/>
              <w:bottom w:val="nil"/>
              <w:right w:val="nil"/>
            </w:tcBorders>
            <w:noWrap w:val="0"/>
            <w:vAlign w:val="center"/>
          </w:tcPr>
          <w:p w14:paraId="2AC6066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土地平整</w:t>
            </w:r>
          </w:p>
        </w:tc>
      </w:tr>
      <w:tr w14:paraId="55A03B2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F2430C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13</w:t>
            </w:r>
          </w:p>
        </w:tc>
        <w:tc>
          <w:tcPr>
            <w:tcW w:w="7222" w:type="dxa"/>
            <w:tcBorders>
              <w:top w:val="nil"/>
              <w:left w:val="nil"/>
              <w:bottom w:val="nil"/>
              <w:right w:val="nil"/>
            </w:tcBorders>
            <w:noWrap w:val="0"/>
            <w:vAlign w:val="center"/>
          </w:tcPr>
          <w:p w14:paraId="00BB794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33B71AD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0892D6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B</w:t>
            </w:r>
          </w:p>
        </w:tc>
        <w:tc>
          <w:tcPr>
            <w:tcW w:w="7222" w:type="dxa"/>
            <w:tcBorders>
              <w:top w:val="nil"/>
              <w:left w:val="nil"/>
              <w:bottom w:val="nil"/>
              <w:right w:val="nil"/>
            </w:tcBorders>
            <w:noWrap w:val="0"/>
            <w:vAlign w:val="center"/>
          </w:tcPr>
          <w:p w14:paraId="01192EC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工业建设项目</w:t>
            </w:r>
          </w:p>
        </w:tc>
      </w:tr>
      <w:tr w14:paraId="7A2A5FA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86D53E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5EDA202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钢铁和有色金属加工厂建设</w:t>
            </w:r>
          </w:p>
        </w:tc>
      </w:tr>
      <w:tr w14:paraId="638BD59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9A9301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1954D41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化学品（非石油）厂建设（包括化肥厂等）</w:t>
            </w:r>
          </w:p>
        </w:tc>
      </w:tr>
      <w:tr w14:paraId="13509A8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1239EC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D6EE87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制药厂建设</w:t>
            </w:r>
          </w:p>
        </w:tc>
      </w:tr>
      <w:tr w14:paraId="7B8DE83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A8A6CE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4C29658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食品和饮料加工厂建设</w:t>
            </w:r>
          </w:p>
        </w:tc>
      </w:tr>
      <w:tr w14:paraId="6C56EE7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398F63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0A78E23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纸浆和造纸厂建设</w:t>
            </w:r>
          </w:p>
        </w:tc>
      </w:tr>
      <w:tr w14:paraId="4DA644E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F52823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71D700B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非金属矿物制品厂建设（包括水泥厂、石灰厂、玻璃厂等）</w:t>
            </w:r>
          </w:p>
        </w:tc>
      </w:tr>
      <w:tr w14:paraId="5976D69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0465A7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62247FC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6A509A3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AE6781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C</w:t>
            </w:r>
          </w:p>
        </w:tc>
        <w:tc>
          <w:tcPr>
            <w:tcW w:w="7222" w:type="dxa"/>
            <w:tcBorders>
              <w:top w:val="nil"/>
              <w:left w:val="nil"/>
              <w:bottom w:val="nil"/>
              <w:right w:val="nil"/>
            </w:tcBorders>
            <w:noWrap w:val="0"/>
            <w:vAlign w:val="center"/>
          </w:tcPr>
          <w:p w14:paraId="15F6CAE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制造加工设施建设项目</w:t>
            </w:r>
          </w:p>
        </w:tc>
      </w:tr>
      <w:tr w14:paraId="6B9B8CC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285F50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6F74286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汽车装配和零部件制造厂建设</w:t>
            </w:r>
          </w:p>
        </w:tc>
      </w:tr>
      <w:tr w14:paraId="4BB13E2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6B2A14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0D864A4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半导体制造厂建设</w:t>
            </w:r>
          </w:p>
        </w:tc>
      </w:tr>
      <w:tr w14:paraId="5A6B1F4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867711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0E3745F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电子装配厂建设</w:t>
            </w:r>
          </w:p>
        </w:tc>
      </w:tr>
      <w:tr w14:paraId="2117544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24DA4C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200F908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航空航天设备制造厂建设</w:t>
            </w:r>
          </w:p>
        </w:tc>
      </w:tr>
      <w:tr w14:paraId="0A4F130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D3BCB7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6016A78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0618031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457AB8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D</w:t>
            </w:r>
          </w:p>
        </w:tc>
        <w:tc>
          <w:tcPr>
            <w:tcW w:w="7222" w:type="dxa"/>
            <w:tcBorders>
              <w:top w:val="nil"/>
              <w:left w:val="nil"/>
              <w:bottom w:val="nil"/>
              <w:right w:val="nil"/>
            </w:tcBorders>
            <w:noWrap w:val="0"/>
            <w:vAlign w:val="center"/>
          </w:tcPr>
          <w:p w14:paraId="3158528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水利建设项目</w:t>
            </w:r>
          </w:p>
        </w:tc>
      </w:tr>
      <w:tr w14:paraId="1009C62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663B75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1005168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水处理、海水淡化厂(水资源循环利用）</w:t>
            </w:r>
          </w:p>
        </w:tc>
      </w:tr>
      <w:tr w14:paraId="3D61F6D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59F092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6CF71D7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供水管线、沟渠建设</w:t>
            </w:r>
          </w:p>
        </w:tc>
      </w:tr>
      <w:tr w14:paraId="46547D4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FEB5A3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1A8F029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水坝、水库</w:t>
            </w:r>
          </w:p>
        </w:tc>
      </w:tr>
      <w:tr w14:paraId="2550617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189CCE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47AB055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防洪堤坝、海堤建设</w:t>
            </w:r>
          </w:p>
        </w:tc>
      </w:tr>
      <w:tr w14:paraId="56906BF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5925DF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6DBB6B3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打井工程</w:t>
            </w:r>
          </w:p>
        </w:tc>
      </w:tr>
      <w:tr w14:paraId="22D02DE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AEA484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1F992DF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4406E96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424176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E</w:t>
            </w:r>
          </w:p>
        </w:tc>
        <w:tc>
          <w:tcPr>
            <w:tcW w:w="7222" w:type="dxa"/>
            <w:tcBorders>
              <w:top w:val="nil"/>
              <w:left w:val="nil"/>
              <w:bottom w:val="nil"/>
              <w:right w:val="nil"/>
            </w:tcBorders>
            <w:noWrap w:val="0"/>
            <w:vAlign w:val="center"/>
          </w:tcPr>
          <w:p w14:paraId="5399F04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废水（物）处理项目</w:t>
            </w:r>
          </w:p>
        </w:tc>
      </w:tr>
      <w:tr w14:paraId="2B8292C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9AF777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002D21C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污水处理厂</w:t>
            </w:r>
          </w:p>
        </w:tc>
      </w:tr>
      <w:tr w14:paraId="2896FAB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6652A3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4679D3D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卫生间、下水道处理</w:t>
            </w:r>
          </w:p>
        </w:tc>
      </w:tr>
      <w:tr w14:paraId="18E64FF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DBA4D8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11D5F3A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生活垃圾与农林牧渔废弃资源循环利用</w:t>
            </w:r>
          </w:p>
        </w:tc>
      </w:tr>
      <w:tr w14:paraId="70960BB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2A7DF7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4754464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工业固体废物、废气、废液处理</w:t>
            </w:r>
          </w:p>
        </w:tc>
      </w:tr>
      <w:tr w14:paraId="3734C4E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A5AA7C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147B9B3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其他废水（物）处理</w:t>
            </w:r>
          </w:p>
        </w:tc>
      </w:tr>
      <w:tr w14:paraId="31125CB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98B1FF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0"/>
                <w:szCs w:val="20"/>
                <w:lang w:eastAsia="zh-CN"/>
              </w:rPr>
            </w:pPr>
            <w:r>
              <w:rPr>
                <w:rFonts w:hint="eastAsia" w:ascii="宋体" w:hAnsi="宋体" w:cs="宋体"/>
                <w:color w:val="auto"/>
                <w:kern w:val="0"/>
                <w:sz w:val="20"/>
                <w:szCs w:val="20"/>
                <w:lang w:val="en-US" w:eastAsia="zh-CN" w:bidi="ar"/>
              </w:rPr>
              <w:t>6</w:t>
            </w:r>
          </w:p>
        </w:tc>
        <w:tc>
          <w:tcPr>
            <w:tcW w:w="7222" w:type="dxa"/>
            <w:tcBorders>
              <w:top w:val="nil"/>
              <w:left w:val="nil"/>
              <w:bottom w:val="nil"/>
              <w:right w:val="nil"/>
            </w:tcBorders>
            <w:noWrap w:val="0"/>
            <w:vAlign w:val="center"/>
          </w:tcPr>
          <w:p w14:paraId="1E70F13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val="en-US" w:eastAsia="zh-CN" w:bidi="ar"/>
              </w:rPr>
              <w:t>二氧化碳捕集、封存、利用（CCS、CCUS）</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53146EF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D2AC83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F</w:t>
            </w:r>
          </w:p>
        </w:tc>
        <w:tc>
          <w:tcPr>
            <w:tcW w:w="7222" w:type="dxa"/>
            <w:tcBorders>
              <w:top w:val="nil"/>
              <w:left w:val="nil"/>
              <w:bottom w:val="nil"/>
              <w:right w:val="nil"/>
            </w:tcBorders>
            <w:noWrap w:val="0"/>
            <w:vAlign w:val="center"/>
          </w:tcPr>
          <w:p w14:paraId="6AC9AE1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交通运输建设项目</w:t>
            </w:r>
          </w:p>
        </w:tc>
      </w:tr>
      <w:tr w14:paraId="1293974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BF29AB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0618CAA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公路（含高速公路）</w:t>
            </w:r>
          </w:p>
        </w:tc>
      </w:tr>
      <w:tr w14:paraId="736D418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5B296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4968600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桥梁</w:t>
            </w:r>
          </w:p>
        </w:tc>
      </w:tr>
      <w:tr w14:paraId="326D74EE">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C24E14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59AB85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港口及港口设施建设</w:t>
            </w:r>
          </w:p>
        </w:tc>
      </w:tr>
      <w:tr w14:paraId="345BF4D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6076C5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07845FD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机场（含航站楼）</w:t>
            </w:r>
          </w:p>
        </w:tc>
      </w:tr>
      <w:tr w14:paraId="38B1104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E756A9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5DA102F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铁路（含地铁、轻轨及相关公共交通枢纽）</w:t>
            </w:r>
          </w:p>
        </w:tc>
      </w:tr>
      <w:tr w14:paraId="76AF6BD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346B3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5DB730C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0E2B5AC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78AB21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G</w:t>
            </w:r>
          </w:p>
        </w:tc>
        <w:tc>
          <w:tcPr>
            <w:tcW w:w="7222" w:type="dxa"/>
            <w:tcBorders>
              <w:top w:val="nil"/>
              <w:left w:val="nil"/>
              <w:bottom w:val="nil"/>
              <w:right w:val="nil"/>
            </w:tcBorders>
            <w:noWrap w:val="0"/>
            <w:vAlign w:val="center"/>
          </w:tcPr>
          <w:p w14:paraId="7CE18D9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危险品处理项目</w:t>
            </w:r>
          </w:p>
        </w:tc>
      </w:tr>
      <w:tr w14:paraId="05F81D9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9A305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5F88CB0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化学品处理和土壤（指遭受污染的土壤）修复</w:t>
            </w:r>
          </w:p>
        </w:tc>
      </w:tr>
      <w:tr w14:paraId="386A34F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216903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5D5235C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核废料处理</w:t>
            </w:r>
          </w:p>
        </w:tc>
      </w:tr>
      <w:tr w14:paraId="238D233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3D455A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7FD11A5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石棉和铅减排处理</w:t>
            </w:r>
          </w:p>
        </w:tc>
      </w:tr>
      <w:tr w14:paraId="7C5C7A6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F12C91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637844D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空气净化设施</w:t>
            </w:r>
          </w:p>
        </w:tc>
      </w:tr>
      <w:tr w14:paraId="0CA1653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B81689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543B3BB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其他危险品处理</w:t>
            </w:r>
          </w:p>
        </w:tc>
      </w:tr>
      <w:tr w14:paraId="40CAB76F">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7411525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H</w:t>
            </w:r>
          </w:p>
        </w:tc>
        <w:tc>
          <w:tcPr>
            <w:tcW w:w="7222" w:type="dxa"/>
            <w:tcBorders>
              <w:top w:val="nil"/>
              <w:left w:val="nil"/>
              <w:bottom w:val="nil"/>
              <w:right w:val="nil"/>
            </w:tcBorders>
            <w:noWrap w:val="0"/>
            <w:vAlign w:val="center"/>
          </w:tcPr>
          <w:p w14:paraId="44EAECA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电力工程建设</w:t>
            </w:r>
          </w:p>
        </w:tc>
      </w:tr>
      <w:tr w14:paraId="22FB6A08">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4B2E3C5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01D061E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化石燃料电厂（石油、天然气和煤做为燃料的电厂）</w:t>
            </w:r>
          </w:p>
        </w:tc>
      </w:tr>
      <w:tr w14:paraId="3DBEABC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022A473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3BF9D00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核电运营、工程施工与技术服务</w:t>
            </w:r>
          </w:p>
        </w:tc>
      </w:tr>
      <w:tr w14:paraId="2AE4A9D7">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00A0E5C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5EAFD63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水力发电运营、工程施工与技术服务</w:t>
            </w:r>
          </w:p>
        </w:tc>
      </w:tr>
      <w:tr w14:paraId="308002BF">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06991FB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111494D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热电联产电厂（指同时向用户供给电能和热能的火力发电厂）</w:t>
            </w:r>
          </w:p>
        </w:tc>
      </w:tr>
      <w:tr w14:paraId="6EDD5375">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0BC8E82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306D973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风能发电运营、工程施工与技术服务</w:t>
            </w:r>
          </w:p>
        </w:tc>
      </w:tr>
      <w:tr w14:paraId="126287D9">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533ACA7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6D8791C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太阳能发电运营、工程施工与技术服务</w:t>
            </w:r>
          </w:p>
        </w:tc>
      </w:tr>
      <w:tr w14:paraId="4C9D7E98">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7C47326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723DDFD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生物质能发电工程施工与技术服务（以秸</w:t>
            </w:r>
            <w:r>
              <w:rPr>
                <w:rFonts w:hint="eastAsia" w:ascii="宋体" w:hAnsi="宋体" w:cs="宋体"/>
                <w:color w:val="auto"/>
                <w:kern w:val="0"/>
                <w:sz w:val="20"/>
                <w:szCs w:val="20"/>
                <w:lang w:eastAsia="zh-CN" w:bidi="ar"/>
              </w:rPr>
              <w:t>秆</w:t>
            </w:r>
            <w:r>
              <w:rPr>
                <w:rFonts w:hint="eastAsia" w:ascii="宋体" w:hAnsi="宋体" w:eastAsia="宋体" w:cs="宋体"/>
                <w:color w:val="auto"/>
                <w:kern w:val="0"/>
                <w:sz w:val="20"/>
                <w:szCs w:val="20"/>
                <w:lang w:bidi="ar"/>
              </w:rPr>
              <w:t>、林业剩余物、生活垃圾等为原料）</w:t>
            </w:r>
          </w:p>
        </w:tc>
      </w:tr>
      <w:tr w14:paraId="4C987854">
        <w:tblPrEx>
          <w:tblCellMar>
            <w:top w:w="0" w:type="dxa"/>
            <w:left w:w="108" w:type="dxa"/>
            <w:bottom w:w="0" w:type="dxa"/>
            <w:right w:w="108" w:type="dxa"/>
          </w:tblCellMar>
        </w:tblPrEx>
        <w:trPr>
          <w:trHeight w:val="600" w:hRule="atLeast"/>
        </w:trPr>
        <w:tc>
          <w:tcPr>
            <w:tcW w:w="1740" w:type="dxa"/>
            <w:tcBorders>
              <w:top w:val="nil"/>
              <w:left w:val="nil"/>
              <w:bottom w:val="nil"/>
              <w:right w:val="nil"/>
            </w:tcBorders>
            <w:noWrap w:val="0"/>
            <w:vAlign w:val="center"/>
          </w:tcPr>
          <w:p w14:paraId="6D75E8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8</w:t>
            </w:r>
          </w:p>
        </w:tc>
        <w:tc>
          <w:tcPr>
            <w:tcW w:w="7222" w:type="dxa"/>
            <w:tcBorders>
              <w:top w:val="nil"/>
              <w:left w:val="nil"/>
              <w:bottom w:val="nil"/>
              <w:right w:val="nil"/>
            </w:tcBorders>
            <w:noWrap w:val="0"/>
            <w:vAlign w:val="center"/>
          </w:tcPr>
          <w:p w14:paraId="6BFE4BF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智能电网输配电工程（包括输电线路工程、变电工程、换流站工程、智能电网技术服务等）</w:t>
            </w:r>
          </w:p>
        </w:tc>
      </w:tr>
      <w:tr w14:paraId="08CFB95C">
        <w:tblPrEx>
          <w:tblCellMar>
            <w:top w:w="0" w:type="dxa"/>
            <w:left w:w="108" w:type="dxa"/>
            <w:bottom w:w="0" w:type="dxa"/>
            <w:right w:w="108" w:type="dxa"/>
          </w:tblCellMar>
        </w:tblPrEx>
        <w:trPr>
          <w:trHeight w:val="660" w:hRule="atLeast"/>
        </w:trPr>
        <w:tc>
          <w:tcPr>
            <w:tcW w:w="1740" w:type="dxa"/>
            <w:tcBorders>
              <w:top w:val="nil"/>
              <w:left w:val="nil"/>
              <w:bottom w:val="nil"/>
              <w:right w:val="nil"/>
            </w:tcBorders>
            <w:noWrap w:val="0"/>
            <w:vAlign w:val="center"/>
          </w:tcPr>
          <w:p w14:paraId="01509AE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9</w:t>
            </w:r>
          </w:p>
        </w:tc>
        <w:tc>
          <w:tcPr>
            <w:tcW w:w="7222" w:type="dxa"/>
            <w:tcBorders>
              <w:top w:val="nil"/>
              <w:left w:val="nil"/>
              <w:bottom w:val="nil"/>
              <w:right w:val="nil"/>
            </w:tcBorders>
            <w:noWrap w:val="0"/>
            <w:vAlign w:val="center"/>
          </w:tcPr>
          <w:p w14:paraId="5DA7490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传统能源清洁运营、工程施工与技术服务（包括化石料、热电联电站等的废气综合利用、</w:t>
            </w:r>
            <w:r>
              <w:rPr>
                <w:rFonts w:hint="eastAsia" w:ascii="宋体" w:hAnsi="宋体" w:cs="宋体"/>
                <w:color w:val="auto"/>
                <w:kern w:val="0"/>
                <w:sz w:val="20"/>
                <w:szCs w:val="20"/>
                <w:lang w:eastAsia="zh-CN" w:bidi="ar"/>
              </w:rPr>
              <w:t>地热</w:t>
            </w:r>
            <w:r>
              <w:rPr>
                <w:rFonts w:hint="eastAsia" w:ascii="宋体" w:hAnsi="宋体" w:eastAsia="宋体" w:cs="宋体"/>
                <w:color w:val="auto"/>
                <w:kern w:val="0"/>
                <w:sz w:val="20"/>
                <w:szCs w:val="20"/>
                <w:lang w:bidi="ar"/>
              </w:rPr>
              <w:t>能源高效利用等）</w:t>
            </w:r>
          </w:p>
        </w:tc>
      </w:tr>
      <w:tr w14:paraId="53725ED3">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52F2108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w:t>
            </w:r>
          </w:p>
        </w:tc>
        <w:tc>
          <w:tcPr>
            <w:tcW w:w="7222" w:type="dxa"/>
            <w:tcBorders>
              <w:top w:val="nil"/>
              <w:left w:val="nil"/>
              <w:bottom w:val="nil"/>
              <w:right w:val="nil"/>
            </w:tcBorders>
            <w:noWrap w:val="0"/>
            <w:vAlign w:val="center"/>
          </w:tcPr>
          <w:p w14:paraId="1459025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储能（电化学、压缩空气等）</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7CCA97A7">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6AFC4AD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kern w:val="0"/>
                <w:sz w:val="20"/>
                <w:szCs w:val="20"/>
                <w:lang w:val="en-US" w:eastAsia="zh-CN" w:bidi="ar"/>
              </w:rPr>
            </w:pPr>
            <w:r>
              <w:rPr>
                <w:rFonts w:hint="eastAsia" w:ascii="宋体" w:hAnsi="宋体" w:cs="宋体"/>
                <w:color w:val="auto"/>
                <w:kern w:val="0"/>
                <w:sz w:val="20"/>
                <w:szCs w:val="20"/>
                <w:lang w:val="en-US" w:eastAsia="zh-CN" w:bidi="ar"/>
              </w:rPr>
              <w:t>11</w:t>
            </w:r>
          </w:p>
        </w:tc>
        <w:tc>
          <w:tcPr>
            <w:tcW w:w="7222" w:type="dxa"/>
            <w:tcBorders>
              <w:top w:val="nil"/>
              <w:left w:val="nil"/>
              <w:bottom w:val="nil"/>
              <w:right w:val="nil"/>
            </w:tcBorders>
            <w:noWrap w:val="0"/>
            <w:vAlign w:val="center"/>
          </w:tcPr>
          <w:p w14:paraId="3252957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绿氢制备、存储、运输、加工</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66714D1D">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7698F23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lang w:bidi="ar"/>
              </w:rPr>
              <w:t>1</w:t>
            </w:r>
            <w:r>
              <w:rPr>
                <w:rFonts w:hint="eastAsia" w:ascii="宋体" w:hAnsi="宋体" w:cs="宋体"/>
                <w:color w:val="auto"/>
                <w:kern w:val="0"/>
                <w:sz w:val="20"/>
                <w:szCs w:val="20"/>
                <w:lang w:val="en-US" w:eastAsia="zh-CN" w:bidi="ar"/>
              </w:rPr>
              <w:t>2</w:t>
            </w:r>
          </w:p>
        </w:tc>
        <w:tc>
          <w:tcPr>
            <w:tcW w:w="7222" w:type="dxa"/>
            <w:tcBorders>
              <w:top w:val="nil"/>
              <w:left w:val="nil"/>
              <w:bottom w:val="nil"/>
              <w:right w:val="nil"/>
            </w:tcBorders>
            <w:noWrap w:val="0"/>
            <w:vAlign w:val="center"/>
          </w:tcPr>
          <w:p w14:paraId="27ADA1D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6676776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E195BD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I</w:t>
            </w:r>
          </w:p>
        </w:tc>
        <w:tc>
          <w:tcPr>
            <w:tcW w:w="7222" w:type="dxa"/>
            <w:tcBorders>
              <w:top w:val="nil"/>
              <w:left w:val="nil"/>
              <w:bottom w:val="nil"/>
              <w:right w:val="nil"/>
            </w:tcBorders>
            <w:noWrap w:val="0"/>
            <w:vAlign w:val="center"/>
          </w:tcPr>
          <w:p w14:paraId="1E26EE6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石油化工项目</w:t>
            </w:r>
          </w:p>
        </w:tc>
      </w:tr>
      <w:tr w14:paraId="1A72938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7578A6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06D175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炼油厂和石化厂建设</w:t>
            </w:r>
          </w:p>
        </w:tc>
      </w:tr>
      <w:tr w14:paraId="3570399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0F1C1F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12196A8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油气管线建设</w:t>
            </w:r>
          </w:p>
        </w:tc>
      </w:tr>
      <w:tr w14:paraId="09149C7E">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4C6B65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0395681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海上石油平台建设</w:t>
            </w:r>
          </w:p>
        </w:tc>
      </w:tr>
      <w:tr w14:paraId="5EB4D17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86CEDD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7C7254F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01-03项服务维护运转</w:t>
            </w:r>
          </w:p>
        </w:tc>
      </w:tr>
      <w:tr w14:paraId="3964D46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903D7C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3B620E8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126E012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83E812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J</w:t>
            </w:r>
          </w:p>
        </w:tc>
        <w:tc>
          <w:tcPr>
            <w:tcW w:w="7222" w:type="dxa"/>
            <w:tcBorders>
              <w:top w:val="nil"/>
              <w:left w:val="nil"/>
              <w:bottom w:val="nil"/>
              <w:right w:val="nil"/>
            </w:tcBorders>
            <w:noWrap w:val="0"/>
            <w:vAlign w:val="center"/>
          </w:tcPr>
          <w:p w14:paraId="71E6DAA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通讯工程建设</w:t>
            </w:r>
          </w:p>
        </w:tc>
      </w:tr>
      <w:tr w14:paraId="6A7B56A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CE48C3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70FF122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广播电视转播塔施工</w:t>
            </w:r>
          </w:p>
        </w:tc>
      </w:tr>
      <w:tr w14:paraId="444B3BBE">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B06162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2C283F7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数据和网络中心建设</w:t>
            </w:r>
          </w:p>
        </w:tc>
      </w:tr>
      <w:tr w14:paraId="6E62E24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FEB574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0E20C7B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通讯传送架与设施的施工（含地下和水下通信电缆）</w:t>
            </w:r>
          </w:p>
        </w:tc>
      </w:tr>
      <w:tr w14:paraId="4759FC2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1E9378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746F29C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通信线路和设备安装</w:t>
            </w:r>
          </w:p>
        </w:tc>
      </w:tr>
      <w:tr w14:paraId="1BC1DEF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527165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4D742F6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航空航天工程（含卫星发射等）</w:t>
            </w:r>
          </w:p>
        </w:tc>
      </w:tr>
      <w:tr w14:paraId="604B1FF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9CA51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7EADFAD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07EA9DD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4932EB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K</w:t>
            </w:r>
          </w:p>
        </w:tc>
        <w:tc>
          <w:tcPr>
            <w:tcW w:w="7222" w:type="dxa"/>
            <w:tcBorders>
              <w:top w:val="nil"/>
              <w:left w:val="nil"/>
              <w:bottom w:val="nil"/>
              <w:right w:val="nil"/>
            </w:tcBorders>
            <w:noWrap w:val="0"/>
            <w:vAlign w:val="center"/>
          </w:tcPr>
          <w:p w14:paraId="4D09A62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cs="宋体"/>
                <w:b/>
                <w:color w:val="auto"/>
                <w:kern w:val="0"/>
                <w:sz w:val="20"/>
                <w:szCs w:val="20"/>
                <w:lang w:eastAsia="zh-CN" w:bidi="ar"/>
              </w:rPr>
              <w:t>采矿及</w:t>
            </w:r>
            <w:r>
              <w:rPr>
                <w:rFonts w:hint="eastAsia" w:ascii="宋体" w:hAnsi="宋体" w:eastAsia="宋体" w:cs="宋体"/>
                <w:b/>
                <w:color w:val="auto"/>
                <w:kern w:val="0"/>
                <w:sz w:val="20"/>
                <w:szCs w:val="20"/>
                <w:lang w:bidi="ar"/>
              </w:rPr>
              <w:t>其他</w:t>
            </w:r>
          </w:p>
        </w:tc>
      </w:tr>
      <w:tr w14:paraId="388A777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86C815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799033C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与采矿业相关的地质勘察</w:t>
            </w:r>
          </w:p>
        </w:tc>
      </w:tr>
      <w:tr w14:paraId="6F7F6EE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40F46B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1731F3D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矿山工程建筑（含坑道、隧道、井道的挖掘、搭建等）</w:t>
            </w:r>
          </w:p>
        </w:tc>
      </w:tr>
      <w:tr w14:paraId="2ED796F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AB5100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3C9ADB1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bl>
    <w:p w14:paraId="206BF46B">
      <w:pPr>
        <w:widowControl/>
        <w:ind w:firstLine="357"/>
        <w:rPr>
          <w:rFonts w:ascii="宋体" w:hAnsi="宋体" w:cs="宋体"/>
          <w:b/>
          <w:color w:val="auto"/>
          <w:kern w:val="0"/>
          <w:sz w:val="24"/>
        </w:rPr>
      </w:pPr>
    </w:p>
    <w:p w14:paraId="1553A035">
      <w:pPr>
        <w:jc w:val="center"/>
        <w:rPr>
          <w:rFonts w:ascii="宋体" w:hAnsi="宋体"/>
          <w:bCs/>
          <w:color w:val="auto"/>
          <w:sz w:val="32"/>
          <w:szCs w:val="32"/>
        </w:rPr>
        <w:sectPr>
          <w:footerReference r:id="rId4" w:type="default"/>
          <w:pgSz w:w="11906" w:h="16838"/>
          <w:pgMar w:top="1332" w:right="1247" w:bottom="1332" w:left="1247" w:header="851" w:footer="992" w:gutter="0"/>
          <w:pgBorders>
            <w:top w:val="none" w:sz="0" w:space="0"/>
            <w:left w:val="none" w:sz="0" w:space="0"/>
            <w:bottom w:val="none" w:sz="0" w:space="0"/>
            <w:right w:val="none" w:sz="0" w:space="0"/>
          </w:pgBorders>
          <w:pgNumType w:fmt="decimal" w:start="3"/>
          <w:cols w:space="720" w:num="1"/>
          <w:docGrid w:type="lines" w:linePitch="312" w:charSpace="0"/>
        </w:sectPr>
      </w:pPr>
    </w:p>
    <w:p w14:paraId="63358625">
      <w:pPr>
        <w:numPr>
          <w:ilvl w:val="0"/>
          <w:numId w:val="0"/>
        </w:numPr>
        <w:jc w:val="center"/>
        <w:outlineLvl w:val="1"/>
        <w:rPr>
          <w:rFonts w:hint="eastAsia" w:ascii="宋体" w:hAnsi="宋体"/>
          <w:bCs/>
          <w:color w:val="auto"/>
          <w:sz w:val="32"/>
          <w:szCs w:val="32"/>
        </w:rPr>
      </w:pPr>
      <w:bookmarkStart w:id="33" w:name="_Toc687685172"/>
      <w:bookmarkStart w:id="34" w:name="_Toc761601147"/>
      <w:r>
        <w:rPr>
          <w:rFonts w:hint="eastAsia" w:ascii="宋体" w:hAnsi="宋体"/>
          <w:bCs/>
          <w:color w:val="auto"/>
          <w:sz w:val="32"/>
          <w:szCs w:val="32"/>
          <w:lang w:eastAsia="zh-CN"/>
        </w:rPr>
        <w:t>（二）</w:t>
      </w:r>
      <w:r>
        <w:rPr>
          <w:rFonts w:hint="eastAsia" w:ascii="宋体" w:hAnsi="宋体"/>
          <w:bCs/>
          <w:color w:val="auto"/>
          <w:sz w:val="32"/>
          <w:szCs w:val="32"/>
        </w:rPr>
        <w:t>国民经济行业分类目录（GB/T 4754-2017）</w:t>
      </w:r>
      <w:bookmarkEnd w:id="33"/>
      <w:bookmarkEnd w:id="34"/>
    </w:p>
    <w:p w14:paraId="1D966C35">
      <w:pPr>
        <w:numPr>
          <w:ilvl w:val="0"/>
          <w:numId w:val="0"/>
        </w:numPr>
        <w:jc w:val="both"/>
        <w:outlineLvl w:val="1"/>
        <w:rPr>
          <w:rFonts w:hint="eastAsia" w:ascii="宋体" w:hAnsi="宋体"/>
          <w:bCs/>
          <w:color w:val="auto"/>
          <w:sz w:val="32"/>
          <w:szCs w:val="32"/>
        </w:rPr>
      </w:pPr>
    </w:p>
    <w:tbl>
      <w:tblPr>
        <w:tblStyle w:val="11"/>
        <w:tblW w:w="9468" w:type="dxa"/>
        <w:tblInd w:w="93" w:type="dxa"/>
        <w:tblLayout w:type="autofit"/>
        <w:tblCellMar>
          <w:top w:w="0" w:type="dxa"/>
          <w:left w:w="108" w:type="dxa"/>
          <w:bottom w:w="0" w:type="dxa"/>
          <w:right w:w="108" w:type="dxa"/>
        </w:tblCellMar>
      </w:tblPr>
      <w:tblGrid>
        <w:gridCol w:w="2920"/>
        <w:gridCol w:w="6548"/>
      </w:tblGrid>
      <w:tr w14:paraId="2915BD42">
        <w:tblPrEx>
          <w:tblCellMar>
            <w:top w:w="0" w:type="dxa"/>
            <w:left w:w="108" w:type="dxa"/>
            <w:bottom w:w="0" w:type="dxa"/>
            <w:right w:w="108" w:type="dxa"/>
          </w:tblCellMar>
        </w:tblPrEx>
        <w:trPr>
          <w:trHeight w:val="270" w:hRule="atLeast"/>
        </w:trPr>
        <w:tc>
          <w:tcPr>
            <w:tcW w:w="2920" w:type="dxa"/>
            <w:tcBorders>
              <w:top w:val="single" w:color="000000" w:sz="8" w:space="0"/>
              <w:left w:val="nil"/>
              <w:bottom w:val="single" w:color="000000" w:sz="8" w:space="0"/>
              <w:right w:val="single" w:color="000000" w:sz="8" w:space="0"/>
            </w:tcBorders>
            <w:noWrap w:val="0"/>
            <w:vAlign w:val="bottom"/>
          </w:tcPr>
          <w:p w14:paraId="3B3820F2">
            <w:pPr>
              <w:widowControl/>
              <w:jc w:val="center"/>
              <w:textAlignment w:val="bottom"/>
              <w:rPr>
                <w:rFonts w:ascii="宋体" w:hAnsi="宋体" w:eastAsia="宋体" w:cs="宋体"/>
                <w:b/>
                <w:color w:val="auto"/>
                <w:sz w:val="21"/>
                <w:szCs w:val="21"/>
              </w:rPr>
            </w:pPr>
            <w:r>
              <w:rPr>
                <w:rFonts w:hint="eastAsia" w:ascii="宋体" w:hAnsi="宋体" w:eastAsia="宋体" w:cs="宋体"/>
                <w:b/>
                <w:color w:val="auto"/>
                <w:kern w:val="0"/>
                <w:sz w:val="21"/>
                <w:szCs w:val="21"/>
                <w:lang w:bidi="ar"/>
              </w:rPr>
              <w:t xml:space="preserve"> 行业代码</w:t>
            </w:r>
          </w:p>
        </w:tc>
        <w:tc>
          <w:tcPr>
            <w:tcW w:w="6548" w:type="dxa"/>
            <w:tcBorders>
              <w:top w:val="single" w:color="000000" w:sz="8" w:space="0"/>
              <w:left w:val="nil"/>
              <w:bottom w:val="single" w:color="000000" w:sz="8" w:space="0"/>
              <w:right w:val="nil"/>
            </w:tcBorders>
            <w:noWrap w:val="0"/>
            <w:vAlign w:val="bottom"/>
          </w:tcPr>
          <w:p w14:paraId="54CA2FE2">
            <w:pPr>
              <w:widowControl/>
              <w:jc w:val="center"/>
              <w:textAlignment w:val="bottom"/>
              <w:rPr>
                <w:rFonts w:ascii="宋体" w:hAnsi="宋体" w:eastAsia="宋体" w:cs="宋体"/>
                <w:b/>
                <w:color w:val="auto"/>
                <w:sz w:val="21"/>
                <w:szCs w:val="21"/>
              </w:rPr>
            </w:pPr>
            <w:r>
              <w:rPr>
                <w:rFonts w:hint="eastAsia" w:ascii="宋体" w:hAnsi="宋体" w:eastAsia="宋体" w:cs="宋体"/>
                <w:b/>
                <w:color w:val="auto"/>
                <w:kern w:val="0"/>
                <w:sz w:val="21"/>
                <w:szCs w:val="21"/>
                <w:lang w:bidi="ar"/>
              </w:rPr>
              <w:t>类别名称</w:t>
            </w:r>
          </w:p>
        </w:tc>
      </w:tr>
      <w:tr w14:paraId="69A7FEAD">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20DF378A">
            <w:pPr>
              <w:widowControl/>
              <w:jc w:val="center"/>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A</w:t>
            </w:r>
          </w:p>
        </w:tc>
        <w:tc>
          <w:tcPr>
            <w:tcW w:w="6548" w:type="dxa"/>
            <w:tcBorders>
              <w:top w:val="nil"/>
              <w:left w:val="nil"/>
              <w:bottom w:val="nil"/>
              <w:right w:val="nil"/>
            </w:tcBorders>
            <w:noWrap w:val="0"/>
            <w:vAlign w:val="top"/>
          </w:tcPr>
          <w:p w14:paraId="08D5DEF0">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农、林、牧、渔业</w:t>
            </w:r>
          </w:p>
        </w:tc>
      </w:tr>
      <w:tr w14:paraId="34AC028C">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20BA637">
            <w:pPr>
              <w:widowControl/>
              <w:jc w:val="center"/>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B</w:t>
            </w:r>
          </w:p>
        </w:tc>
        <w:tc>
          <w:tcPr>
            <w:tcW w:w="6548" w:type="dxa"/>
            <w:tcBorders>
              <w:top w:val="nil"/>
              <w:left w:val="nil"/>
              <w:bottom w:val="nil"/>
              <w:right w:val="nil"/>
            </w:tcBorders>
            <w:noWrap w:val="0"/>
            <w:vAlign w:val="top"/>
          </w:tcPr>
          <w:p w14:paraId="30E9FCAC">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采矿业</w:t>
            </w:r>
          </w:p>
        </w:tc>
      </w:tr>
      <w:tr w14:paraId="31827029">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2587EBAD">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C</w:t>
            </w:r>
          </w:p>
        </w:tc>
        <w:tc>
          <w:tcPr>
            <w:tcW w:w="6548" w:type="dxa"/>
            <w:tcBorders>
              <w:top w:val="nil"/>
              <w:left w:val="nil"/>
              <w:bottom w:val="nil"/>
              <w:right w:val="nil"/>
            </w:tcBorders>
            <w:noWrap w:val="0"/>
            <w:vAlign w:val="top"/>
          </w:tcPr>
          <w:p w14:paraId="1A73878D">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制造业</w:t>
            </w:r>
          </w:p>
        </w:tc>
      </w:tr>
      <w:tr w14:paraId="1D5A61F9">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7E4F79F9">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D</w:t>
            </w:r>
          </w:p>
        </w:tc>
        <w:tc>
          <w:tcPr>
            <w:tcW w:w="6548" w:type="dxa"/>
            <w:tcBorders>
              <w:top w:val="nil"/>
              <w:left w:val="nil"/>
              <w:bottom w:val="nil"/>
              <w:right w:val="nil"/>
            </w:tcBorders>
            <w:noWrap w:val="0"/>
            <w:vAlign w:val="top"/>
          </w:tcPr>
          <w:p w14:paraId="7A30A9DB">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电力、热力、燃气及水的生产和供应业</w:t>
            </w:r>
          </w:p>
        </w:tc>
      </w:tr>
      <w:tr w14:paraId="362AA06A">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13A2F79">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E</w:t>
            </w:r>
          </w:p>
        </w:tc>
        <w:tc>
          <w:tcPr>
            <w:tcW w:w="6548" w:type="dxa"/>
            <w:tcBorders>
              <w:top w:val="nil"/>
              <w:left w:val="nil"/>
              <w:bottom w:val="nil"/>
              <w:right w:val="nil"/>
            </w:tcBorders>
            <w:noWrap w:val="0"/>
            <w:vAlign w:val="top"/>
          </w:tcPr>
          <w:p w14:paraId="50A7AE24">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建筑业</w:t>
            </w:r>
          </w:p>
        </w:tc>
      </w:tr>
      <w:tr w14:paraId="6902DD6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027033F3">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F</w:t>
            </w:r>
          </w:p>
        </w:tc>
        <w:tc>
          <w:tcPr>
            <w:tcW w:w="6548" w:type="dxa"/>
            <w:tcBorders>
              <w:top w:val="nil"/>
              <w:left w:val="nil"/>
              <w:bottom w:val="nil"/>
              <w:right w:val="nil"/>
            </w:tcBorders>
            <w:noWrap w:val="0"/>
            <w:vAlign w:val="top"/>
          </w:tcPr>
          <w:p w14:paraId="0514F3BF">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批发和零售业</w:t>
            </w:r>
          </w:p>
        </w:tc>
      </w:tr>
      <w:tr w14:paraId="5AEAF95A">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424FA968">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G</w:t>
            </w:r>
          </w:p>
        </w:tc>
        <w:tc>
          <w:tcPr>
            <w:tcW w:w="6548" w:type="dxa"/>
            <w:tcBorders>
              <w:top w:val="nil"/>
              <w:left w:val="nil"/>
              <w:bottom w:val="nil"/>
              <w:right w:val="nil"/>
            </w:tcBorders>
            <w:noWrap w:val="0"/>
            <w:vAlign w:val="top"/>
          </w:tcPr>
          <w:p w14:paraId="6FDA0303">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交通运输、仓储和邮政业</w:t>
            </w:r>
          </w:p>
        </w:tc>
      </w:tr>
      <w:tr w14:paraId="0C47B12F">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62C7138C">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H</w:t>
            </w:r>
          </w:p>
        </w:tc>
        <w:tc>
          <w:tcPr>
            <w:tcW w:w="6548" w:type="dxa"/>
            <w:tcBorders>
              <w:top w:val="nil"/>
              <w:left w:val="nil"/>
              <w:bottom w:val="nil"/>
              <w:right w:val="nil"/>
            </w:tcBorders>
            <w:noWrap w:val="0"/>
            <w:vAlign w:val="top"/>
          </w:tcPr>
          <w:p w14:paraId="462C8B70">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住宿和餐饮业</w:t>
            </w:r>
          </w:p>
        </w:tc>
      </w:tr>
      <w:tr w14:paraId="65C0D6D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36CA163">
            <w:pPr>
              <w:widowControl/>
              <w:jc w:val="center"/>
              <w:textAlignment w:val="top"/>
              <w:rPr>
                <w:rFonts w:hint="default" w:ascii="宋体" w:hAnsi="宋体" w:eastAsia="宋体" w:cs="宋体"/>
                <w:b w:val="0"/>
                <w:bCs/>
                <w:color w:val="auto"/>
                <w:kern w:val="0"/>
                <w:sz w:val="21"/>
                <w:szCs w:val="21"/>
                <w:lang w:val="en" w:bidi="ar"/>
              </w:rPr>
            </w:pPr>
            <w:r>
              <w:rPr>
                <w:rFonts w:hint="default" w:ascii="宋体" w:hAnsi="宋体" w:cs="宋体"/>
                <w:b w:val="0"/>
                <w:bCs/>
                <w:color w:val="auto"/>
                <w:kern w:val="0"/>
                <w:sz w:val="21"/>
                <w:szCs w:val="21"/>
                <w:lang w:val="en" w:bidi="ar"/>
              </w:rPr>
              <w:t>I</w:t>
            </w:r>
          </w:p>
        </w:tc>
        <w:tc>
          <w:tcPr>
            <w:tcW w:w="6548" w:type="dxa"/>
            <w:tcBorders>
              <w:top w:val="nil"/>
              <w:left w:val="nil"/>
              <w:bottom w:val="nil"/>
              <w:right w:val="nil"/>
            </w:tcBorders>
            <w:noWrap w:val="0"/>
            <w:vAlign w:val="top"/>
          </w:tcPr>
          <w:p w14:paraId="1D68B4AD">
            <w:pPr>
              <w:widowControl/>
              <w:jc w:val="left"/>
              <w:textAlignment w:val="top"/>
              <w:rPr>
                <w:rFonts w:hint="eastAsia" w:ascii="宋体" w:hAnsi="宋体" w:eastAsia="宋体" w:cs="宋体"/>
                <w:b w:val="0"/>
                <w:bCs/>
                <w:color w:val="auto"/>
                <w:kern w:val="0"/>
                <w:sz w:val="21"/>
                <w:szCs w:val="21"/>
                <w:lang w:val="en" w:eastAsia="zh-CN" w:bidi="ar"/>
              </w:rPr>
            </w:pPr>
            <w:r>
              <w:rPr>
                <w:rFonts w:hint="eastAsia" w:ascii="宋体" w:hAnsi="宋体" w:cs="宋体"/>
                <w:b w:val="0"/>
                <w:bCs/>
                <w:color w:val="auto"/>
                <w:kern w:val="0"/>
                <w:sz w:val="21"/>
                <w:szCs w:val="21"/>
                <w:lang w:val="en" w:eastAsia="zh-CN" w:bidi="ar"/>
              </w:rPr>
              <w:t>信息传输、软件和信息技术服务业</w:t>
            </w:r>
          </w:p>
        </w:tc>
      </w:tr>
      <w:tr w14:paraId="57C484A5">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763D5034">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J</w:t>
            </w:r>
          </w:p>
        </w:tc>
        <w:tc>
          <w:tcPr>
            <w:tcW w:w="6548" w:type="dxa"/>
            <w:tcBorders>
              <w:top w:val="nil"/>
              <w:left w:val="nil"/>
              <w:bottom w:val="nil"/>
              <w:right w:val="nil"/>
            </w:tcBorders>
            <w:noWrap w:val="0"/>
            <w:vAlign w:val="top"/>
          </w:tcPr>
          <w:p w14:paraId="38B0390D">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金融业</w:t>
            </w:r>
          </w:p>
        </w:tc>
      </w:tr>
      <w:tr w14:paraId="17E5DA7B">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BB2811A">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K</w:t>
            </w:r>
          </w:p>
        </w:tc>
        <w:tc>
          <w:tcPr>
            <w:tcW w:w="6548" w:type="dxa"/>
            <w:tcBorders>
              <w:top w:val="nil"/>
              <w:left w:val="nil"/>
              <w:bottom w:val="nil"/>
              <w:right w:val="nil"/>
            </w:tcBorders>
            <w:noWrap w:val="0"/>
            <w:vAlign w:val="top"/>
          </w:tcPr>
          <w:p w14:paraId="7B2F619D">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房地产业</w:t>
            </w:r>
          </w:p>
        </w:tc>
      </w:tr>
      <w:tr w14:paraId="704B502D">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A815734">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L</w:t>
            </w:r>
          </w:p>
        </w:tc>
        <w:tc>
          <w:tcPr>
            <w:tcW w:w="6548" w:type="dxa"/>
            <w:tcBorders>
              <w:top w:val="nil"/>
              <w:left w:val="nil"/>
              <w:bottom w:val="nil"/>
              <w:right w:val="nil"/>
            </w:tcBorders>
            <w:noWrap w:val="0"/>
            <w:vAlign w:val="top"/>
          </w:tcPr>
          <w:p w14:paraId="1046C017">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租赁和商务服务业</w:t>
            </w:r>
          </w:p>
        </w:tc>
      </w:tr>
      <w:tr w14:paraId="6DB1C142">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09FCD319">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M</w:t>
            </w:r>
          </w:p>
        </w:tc>
        <w:tc>
          <w:tcPr>
            <w:tcW w:w="6548" w:type="dxa"/>
            <w:tcBorders>
              <w:top w:val="nil"/>
              <w:left w:val="nil"/>
              <w:bottom w:val="nil"/>
              <w:right w:val="nil"/>
            </w:tcBorders>
            <w:noWrap w:val="0"/>
            <w:vAlign w:val="top"/>
          </w:tcPr>
          <w:p w14:paraId="758AD722">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科学研究和技术服务业</w:t>
            </w:r>
          </w:p>
        </w:tc>
      </w:tr>
      <w:tr w14:paraId="64C441D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B84297E">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N</w:t>
            </w:r>
          </w:p>
        </w:tc>
        <w:tc>
          <w:tcPr>
            <w:tcW w:w="6548" w:type="dxa"/>
            <w:tcBorders>
              <w:top w:val="nil"/>
              <w:left w:val="nil"/>
              <w:bottom w:val="nil"/>
              <w:right w:val="nil"/>
            </w:tcBorders>
            <w:noWrap w:val="0"/>
            <w:vAlign w:val="top"/>
          </w:tcPr>
          <w:p w14:paraId="344E3F99">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水利、环境和公共设施管理业</w:t>
            </w:r>
          </w:p>
        </w:tc>
      </w:tr>
      <w:tr w14:paraId="44823ABD">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7ACDE676">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O</w:t>
            </w:r>
          </w:p>
        </w:tc>
        <w:tc>
          <w:tcPr>
            <w:tcW w:w="6548" w:type="dxa"/>
            <w:tcBorders>
              <w:top w:val="nil"/>
              <w:left w:val="nil"/>
              <w:bottom w:val="nil"/>
              <w:right w:val="nil"/>
            </w:tcBorders>
            <w:noWrap w:val="0"/>
            <w:vAlign w:val="top"/>
          </w:tcPr>
          <w:p w14:paraId="591CF3AE">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居民服务、修理和其他服务业</w:t>
            </w:r>
          </w:p>
        </w:tc>
      </w:tr>
      <w:tr w14:paraId="390AC2DD">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2FD51D11">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P</w:t>
            </w:r>
          </w:p>
        </w:tc>
        <w:tc>
          <w:tcPr>
            <w:tcW w:w="6548" w:type="dxa"/>
            <w:tcBorders>
              <w:top w:val="nil"/>
              <w:left w:val="nil"/>
              <w:bottom w:val="nil"/>
              <w:right w:val="nil"/>
            </w:tcBorders>
            <w:noWrap w:val="0"/>
            <w:vAlign w:val="top"/>
          </w:tcPr>
          <w:p w14:paraId="32CDC20B">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教育</w:t>
            </w:r>
          </w:p>
        </w:tc>
      </w:tr>
      <w:tr w14:paraId="29869DE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77E3FCB">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Q</w:t>
            </w:r>
          </w:p>
        </w:tc>
        <w:tc>
          <w:tcPr>
            <w:tcW w:w="6548" w:type="dxa"/>
            <w:tcBorders>
              <w:top w:val="nil"/>
              <w:left w:val="nil"/>
              <w:bottom w:val="nil"/>
              <w:right w:val="nil"/>
            </w:tcBorders>
            <w:noWrap w:val="0"/>
            <w:vAlign w:val="top"/>
          </w:tcPr>
          <w:p w14:paraId="298E8357">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卫生和社会工作</w:t>
            </w:r>
          </w:p>
        </w:tc>
      </w:tr>
      <w:tr w14:paraId="4699B10B">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712C958">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R</w:t>
            </w:r>
          </w:p>
        </w:tc>
        <w:tc>
          <w:tcPr>
            <w:tcW w:w="6548" w:type="dxa"/>
            <w:tcBorders>
              <w:top w:val="nil"/>
              <w:left w:val="nil"/>
              <w:bottom w:val="nil"/>
              <w:right w:val="nil"/>
            </w:tcBorders>
            <w:noWrap w:val="0"/>
            <w:vAlign w:val="top"/>
          </w:tcPr>
          <w:p w14:paraId="68DDD319">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文化、体育和娱乐业</w:t>
            </w:r>
          </w:p>
        </w:tc>
      </w:tr>
      <w:tr w14:paraId="33470234">
        <w:tblPrEx>
          <w:tblCellMar>
            <w:top w:w="0" w:type="dxa"/>
            <w:left w:w="108" w:type="dxa"/>
            <w:bottom w:w="0" w:type="dxa"/>
            <w:right w:w="108" w:type="dxa"/>
          </w:tblCellMar>
        </w:tblPrEx>
        <w:trPr>
          <w:trHeight w:val="300" w:hRule="atLeast"/>
        </w:trPr>
        <w:tc>
          <w:tcPr>
            <w:tcW w:w="2920" w:type="dxa"/>
            <w:tcBorders>
              <w:top w:val="nil"/>
              <w:left w:val="nil"/>
              <w:bottom w:val="nil"/>
              <w:right w:val="single" w:color="auto" w:sz="8" w:space="0"/>
            </w:tcBorders>
            <w:noWrap w:val="0"/>
            <w:vAlign w:val="top"/>
          </w:tcPr>
          <w:p w14:paraId="75ECD262">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S</w:t>
            </w:r>
          </w:p>
        </w:tc>
        <w:tc>
          <w:tcPr>
            <w:tcW w:w="6548" w:type="dxa"/>
            <w:tcBorders>
              <w:top w:val="nil"/>
              <w:left w:val="single" w:color="auto" w:sz="8" w:space="0"/>
              <w:bottom w:val="nil"/>
              <w:right w:val="nil"/>
            </w:tcBorders>
            <w:noWrap w:val="0"/>
            <w:vAlign w:val="top"/>
          </w:tcPr>
          <w:p w14:paraId="2A3830F6">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公共管理、社会保障和社会组织</w:t>
            </w:r>
          </w:p>
        </w:tc>
      </w:tr>
      <w:tr w14:paraId="441DEC54">
        <w:tblPrEx>
          <w:tblCellMar>
            <w:top w:w="0" w:type="dxa"/>
            <w:left w:w="108" w:type="dxa"/>
            <w:bottom w:w="0" w:type="dxa"/>
            <w:right w:w="108" w:type="dxa"/>
          </w:tblCellMar>
        </w:tblPrEx>
        <w:trPr>
          <w:trHeight w:val="300" w:hRule="atLeast"/>
        </w:trPr>
        <w:tc>
          <w:tcPr>
            <w:tcW w:w="2920" w:type="dxa"/>
            <w:tcBorders>
              <w:top w:val="nil"/>
              <w:left w:val="nil"/>
              <w:bottom w:val="single" w:color="auto" w:sz="8" w:space="0"/>
              <w:right w:val="single" w:color="auto" w:sz="8" w:space="0"/>
            </w:tcBorders>
            <w:noWrap w:val="0"/>
            <w:vAlign w:val="top"/>
          </w:tcPr>
          <w:p w14:paraId="422B3C93">
            <w:pPr>
              <w:widowControl/>
              <w:jc w:val="center"/>
              <w:rPr>
                <w:rFonts w:ascii="宋体" w:hAnsi="宋体" w:eastAsia="宋体" w:cs="宋体"/>
                <w:b w:val="0"/>
                <w:bCs/>
                <w:color w:val="auto"/>
                <w:kern w:val="0"/>
                <w:sz w:val="21"/>
                <w:szCs w:val="21"/>
                <w:lang w:val="en-US" w:eastAsia="zh-CN" w:bidi="ar-SA"/>
              </w:rPr>
            </w:pPr>
            <w:r>
              <w:rPr>
                <w:rFonts w:hint="eastAsia" w:ascii="宋体" w:hAnsi="宋体" w:cs="宋体"/>
                <w:b w:val="0"/>
                <w:bCs/>
                <w:color w:val="auto"/>
                <w:kern w:val="0"/>
                <w:sz w:val="21"/>
                <w:szCs w:val="21"/>
              </w:rPr>
              <w:t>T</w:t>
            </w:r>
          </w:p>
        </w:tc>
        <w:tc>
          <w:tcPr>
            <w:tcW w:w="6548" w:type="dxa"/>
            <w:tcBorders>
              <w:top w:val="nil"/>
              <w:left w:val="single" w:color="auto" w:sz="8" w:space="0"/>
              <w:bottom w:val="single" w:color="auto" w:sz="8" w:space="0"/>
              <w:right w:val="nil"/>
            </w:tcBorders>
            <w:noWrap w:val="0"/>
            <w:vAlign w:val="top"/>
          </w:tcPr>
          <w:p w14:paraId="7F22800E">
            <w:pPr>
              <w:widowControl/>
              <w:jc w:val="left"/>
              <w:textAlignment w:val="top"/>
              <w:rPr>
                <w:rFonts w:ascii="宋体" w:hAnsi="宋体" w:eastAsia="宋体" w:cs="宋体"/>
                <w:b w:val="0"/>
                <w:bCs/>
                <w:color w:val="auto"/>
                <w:sz w:val="21"/>
                <w:szCs w:val="21"/>
              </w:rPr>
            </w:pPr>
            <w:r>
              <w:rPr>
                <w:rFonts w:hint="eastAsia" w:ascii="宋体" w:hAnsi="宋体" w:cs="宋体"/>
                <w:b w:val="0"/>
                <w:bCs/>
                <w:color w:val="auto"/>
                <w:kern w:val="0"/>
                <w:sz w:val="21"/>
                <w:szCs w:val="21"/>
              </w:rPr>
              <w:t>国际组织</w:t>
            </w:r>
          </w:p>
        </w:tc>
      </w:tr>
    </w:tbl>
    <w:p w14:paraId="2DBB713E">
      <w:pPr>
        <w:rPr>
          <w:rFonts w:ascii="宋体" w:hAnsi="宋体"/>
          <w:bCs/>
          <w:color w:val="auto"/>
          <w:sz w:val="32"/>
          <w:szCs w:val="32"/>
        </w:rPr>
      </w:pPr>
    </w:p>
    <w:p w14:paraId="3997408C">
      <w:pPr>
        <w:rPr>
          <w:rFonts w:ascii="宋体" w:hAnsi="宋体"/>
          <w:bCs/>
          <w:color w:val="auto"/>
          <w:sz w:val="32"/>
          <w:szCs w:val="32"/>
        </w:rPr>
      </w:pPr>
    </w:p>
    <w:p w14:paraId="17201053">
      <w:pPr>
        <w:rPr>
          <w:rFonts w:ascii="宋体" w:hAnsi="宋体"/>
          <w:bCs/>
          <w:color w:val="auto"/>
          <w:sz w:val="32"/>
          <w:szCs w:val="32"/>
        </w:rPr>
      </w:pPr>
    </w:p>
    <w:p w14:paraId="76CAB907">
      <w:pPr>
        <w:rPr>
          <w:rFonts w:ascii="宋体" w:hAnsi="宋体"/>
          <w:bCs/>
          <w:color w:val="auto"/>
          <w:sz w:val="32"/>
          <w:szCs w:val="32"/>
        </w:rPr>
        <w:sectPr>
          <w:pgSz w:w="11906" w:h="16838"/>
          <w:pgMar w:top="1191" w:right="1219" w:bottom="1191" w:left="121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662D48A">
      <w:pPr>
        <w:jc w:val="center"/>
        <w:outlineLvl w:val="1"/>
        <w:rPr>
          <w:rFonts w:hint="eastAsia" w:ascii="宋体" w:hAnsi="宋体"/>
          <w:bCs/>
          <w:color w:val="auto"/>
          <w:sz w:val="32"/>
          <w:szCs w:val="32"/>
          <w:highlight w:val="none"/>
        </w:rPr>
      </w:pPr>
      <w:bookmarkStart w:id="35" w:name="_Toc49818016"/>
      <w:bookmarkStart w:id="36" w:name="_Toc1088136104"/>
      <w:r>
        <w:rPr>
          <w:rFonts w:hint="eastAsia" w:ascii="宋体" w:hAnsi="宋体"/>
          <w:bCs/>
          <w:color w:val="auto"/>
          <w:sz w:val="32"/>
          <w:szCs w:val="32"/>
          <w:highlight w:val="none"/>
          <w:lang w:eastAsia="zh-CN"/>
        </w:rPr>
        <w:t>（三）</w:t>
      </w:r>
      <w:r>
        <w:rPr>
          <w:rFonts w:hint="eastAsia" w:ascii="宋体" w:hAnsi="宋体"/>
          <w:bCs/>
          <w:color w:val="auto"/>
          <w:sz w:val="32"/>
          <w:szCs w:val="32"/>
          <w:highlight w:val="none"/>
        </w:rPr>
        <w:t>节能环保清洁类项目界定</w:t>
      </w:r>
      <w:bookmarkEnd w:id="35"/>
      <w:bookmarkEnd w:id="36"/>
    </w:p>
    <w:tbl>
      <w:tblPr>
        <w:tblStyle w:val="11"/>
        <w:tblW w:w="8505" w:type="dxa"/>
        <w:tblInd w:w="93" w:type="dxa"/>
        <w:tblLayout w:type="fixed"/>
        <w:tblCellMar>
          <w:top w:w="0" w:type="dxa"/>
          <w:left w:w="108" w:type="dxa"/>
          <w:bottom w:w="0" w:type="dxa"/>
          <w:right w:w="108" w:type="dxa"/>
        </w:tblCellMar>
      </w:tblPr>
      <w:tblGrid>
        <w:gridCol w:w="1485"/>
        <w:gridCol w:w="4946"/>
        <w:gridCol w:w="2074"/>
      </w:tblGrid>
      <w:tr w14:paraId="42734CD3">
        <w:tblPrEx>
          <w:tblCellMar>
            <w:top w:w="0" w:type="dxa"/>
            <w:left w:w="108" w:type="dxa"/>
            <w:bottom w:w="0" w:type="dxa"/>
            <w:right w:w="108" w:type="dxa"/>
          </w:tblCellMar>
        </w:tblPrEx>
        <w:trPr>
          <w:trHeight w:val="620" w:hRule="atLeast"/>
        </w:trPr>
        <w:tc>
          <w:tcPr>
            <w:tcW w:w="1485" w:type="dxa"/>
            <w:tcBorders>
              <w:top w:val="single" w:color="000000" w:sz="8" w:space="0"/>
              <w:left w:val="nil"/>
              <w:bottom w:val="single" w:color="000000" w:sz="8" w:space="0"/>
              <w:right w:val="nil"/>
            </w:tcBorders>
            <w:noWrap w:val="0"/>
            <w:vAlign w:val="center"/>
          </w:tcPr>
          <w:p w14:paraId="3F43A0CA">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项目类别代码</w:t>
            </w:r>
          </w:p>
        </w:tc>
        <w:tc>
          <w:tcPr>
            <w:tcW w:w="4946" w:type="dxa"/>
            <w:tcBorders>
              <w:top w:val="single" w:color="000000" w:sz="8" w:space="0"/>
              <w:left w:val="single" w:color="000000" w:sz="4" w:space="0"/>
              <w:bottom w:val="single" w:color="000000" w:sz="8" w:space="0"/>
              <w:right w:val="single" w:color="000000" w:sz="4" w:space="0"/>
            </w:tcBorders>
            <w:noWrap/>
            <w:vAlign w:val="center"/>
          </w:tcPr>
          <w:p w14:paraId="325CB4B4">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对应项目小类</w:t>
            </w:r>
          </w:p>
        </w:tc>
        <w:tc>
          <w:tcPr>
            <w:tcW w:w="2074" w:type="dxa"/>
            <w:tcBorders>
              <w:top w:val="single" w:color="000000" w:sz="8" w:space="0"/>
              <w:left w:val="nil"/>
              <w:bottom w:val="single" w:color="000000" w:sz="8" w:space="0"/>
              <w:right w:val="nil"/>
            </w:tcBorders>
            <w:noWrap/>
            <w:vAlign w:val="center"/>
          </w:tcPr>
          <w:p w14:paraId="2A7E1076">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对应项目大类</w:t>
            </w:r>
          </w:p>
        </w:tc>
      </w:tr>
      <w:tr w14:paraId="1132F3E1">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2B45E277">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D1</w:t>
            </w:r>
          </w:p>
        </w:tc>
        <w:tc>
          <w:tcPr>
            <w:tcW w:w="4946" w:type="dxa"/>
            <w:tcBorders>
              <w:top w:val="nil"/>
              <w:left w:val="single" w:color="000000" w:sz="4" w:space="0"/>
              <w:bottom w:val="nil"/>
              <w:right w:val="single" w:color="000000" w:sz="4" w:space="0"/>
            </w:tcBorders>
            <w:noWrap w:val="0"/>
            <w:vAlign w:val="center"/>
          </w:tcPr>
          <w:p w14:paraId="50DB62AB">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水处理、海水淡化厂(水资源循环利用）</w:t>
            </w:r>
          </w:p>
        </w:tc>
        <w:tc>
          <w:tcPr>
            <w:tcW w:w="2074" w:type="dxa"/>
            <w:tcBorders>
              <w:top w:val="nil"/>
              <w:left w:val="nil"/>
              <w:bottom w:val="nil"/>
              <w:right w:val="nil"/>
            </w:tcBorders>
            <w:noWrap/>
            <w:vAlign w:val="center"/>
          </w:tcPr>
          <w:p w14:paraId="1C00FE0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水利建设项目</w:t>
            </w:r>
          </w:p>
        </w:tc>
      </w:tr>
      <w:tr w14:paraId="5405D66D">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4BD60E39">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E1</w:t>
            </w:r>
          </w:p>
        </w:tc>
        <w:tc>
          <w:tcPr>
            <w:tcW w:w="4946" w:type="dxa"/>
            <w:tcBorders>
              <w:top w:val="nil"/>
              <w:left w:val="single" w:color="000000" w:sz="4" w:space="0"/>
              <w:bottom w:val="nil"/>
              <w:right w:val="single" w:color="000000" w:sz="4" w:space="0"/>
            </w:tcBorders>
            <w:noWrap w:val="0"/>
            <w:vAlign w:val="center"/>
          </w:tcPr>
          <w:p w14:paraId="4257977D">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污水处理厂</w:t>
            </w:r>
          </w:p>
        </w:tc>
        <w:tc>
          <w:tcPr>
            <w:tcW w:w="2074" w:type="dxa"/>
            <w:tcBorders>
              <w:top w:val="nil"/>
              <w:left w:val="nil"/>
              <w:bottom w:val="nil"/>
              <w:right w:val="nil"/>
            </w:tcBorders>
            <w:noWrap/>
            <w:vAlign w:val="center"/>
          </w:tcPr>
          <w:p w14:paraId="574BAF9D">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7977B2FC">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DA2DC3F">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E2</w:t>
            </w:r>
          </w:p>
        </w:tc>
        <w:tc>
          <w:tcPr>
            <w:tcW w:w="4946" w:type="dxa"/>
            <w:tcBorders>
              <w:top w:val="nil"/>
              <w:left w:val="single" w:color="000000" w:sz="4" w:space="0"/>
              <w:bottom w:val="nil"/>
              <w:right w:val="single" w:color="000000" w:sz="4" w:space="0"/>
            </w:tcBorders>
            <w:noWrap w:val="0"/>
            <w:vAlign w:val="center"/>
          </w:tcPr>
          <w:p w14:paraId="55D32503">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卫生间、下水道处理</w:t>
            </w:r>
          </w:p>
        </w:tc>
        <w:tc>
          <w:tcPr>
            <w:tcW w:w="2074" w:type="dxa"/>
            <w:tcBorders>
              <w:top w:val="nil"/>
              <w:left w:val="nil"/>
              <w:bottom w:val="nil"/>
              <w:right w:val="nil"/>
            </w:tcBorders>
            <w:noWrap/>
            <w:vAlign w:val="center"/>
          </w:tcPr>
          <w:p w14:paraId="65CDB70C">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0BD3EA59">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93E9913">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E3</w:t>
            </w:r>
          </w:p>
        </w:tc>
        <w:tc>
          <w:tcPr>
            <w:tcW w:w="4946" w:type="dxa"/>
            <w:tcBorders>
              <w:top w:val="nil"/>
              <w:left w:val="single" w:color="000000" w:sz="4" w:space="0"/>
              <w:bottom w:val="nil"/>
              <w:right w:val="single" w:color="000000" w:sz="4" w:space="0"/>
            </w:tcBorders>
            <w:noWrap w:val="0"/>
            <w:vAlign w:val="center"/>
          </w:tcPr>
          <w:p w14:paraId="73CF534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生活垃圾与农林牧渔废弃资源循环利用</w:t>
            </w:r>
          </w:p>
        </w:tc>
        <w:tc>
          <w:tcPr>
            <w:tcW w:w="2074" w:type="dxa"/>
            <w:tcBorders>
              <w:top w:val="nil"/>
              <w:left w:val="nil"/>
              <w:bottom w:val="nil"/>
              <w:right w:val="nil"/>
            </w:tcBorders>
            <w:noWrap/>
            <w:vAlign w:val="center"/>
          </w:tcPr>
          <w:p w14:paraId="3AE2BC1C">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7D4E7C8A">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2ABCFC9E">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E4</w:t>
            </w:r>
          </w:p>
        </w:tc>
        <w:tc>
          <w:tcPr>
            <w:tcW w:w="4946" w:type="dxa"/>
            <w:tcBorders>
              <w:top w:val="nil"/>
              <w:left w:val="single" w:color="000000" w:sz="4" w:space="0"/>
              <w:bottom w:val="nil"/>
              <w:right w:val="single" w:color="000000" w:sz="4" w:space="0"/>
            </w:tcBorders>
            <w:noWrap w:val="0"/>
            <w:vAlign w:val="center"/>
          </w:tcPr>
          <w:p w14:paraId="2FDA57A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工业固体废物、废气、废液处理</w:t>
            </w:r>
          </w:p>
        </w:tc>
        <w:tc>
          <w:tcPr>
            <w:tcW w:w="2074" w:type="dxa"/>
            <w:tcBorders>
              <w:top w:val="nil"/>
              <w:left w:val="nil"/>
              <w:bottom w:val="nil"/>
              <w:right w:val="nil"/>
            </w:tcBorders>
            <w:noWrap/>
            <w:vAlign w:val="center"/>
          </w:tcPr>
          <w:p w14:paraId="3D49B69A">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62C6C749">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0527F3E">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E5</w:t>
            </w:r>
          </w:p>
        </w:tc>
        <w:tc>
          <w:tcPr>
            <w:tcW w:w="4946" w:type="dxa"/>
            <w:tcBorders>
              <w:top w:val="nil"/>
              <w:left w:val="single" w:color="000000" w:sz="4" w:space="0"/>
              <w:bottom w:val="nil"/>
              <w:right w:val="single" w:color="000000" w:sz="4" w:space="0"/>
            </w:tcBorders>
            <w:noWrap w:val="0"/>
            <w:vAlign w:val="center"/>
          </w:tcPr>
          <w:p w14:paraId="5E31161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其他废水（物）处理</w:t>
            </w:r>
          </w:p>
        </w:tc>
        <w:tc>
          <w:tcPr>
            <w:tcW w:w="2074" w:type="dxa"/>
            <w:tcBorders>
              <w:top w:val="nil"/>
              <w:left w:val="nil"/>
              <w:bottom w:val="nil"/>
              <w:right w:val="nil"/>
            </w:tcBorders>
            <w:noWrap/>
            <w:vAlign w:val="center"/>
          </w:tcPr>
          <w:p w14:paraId="3E4C57DA">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43C57606">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6BD7A441">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E6</w:t>
            </w:r>
          </w:p>
        </w:tc>
        <w:tc>
          <w:tcPr>
            <w:tcW w:w="4946" w:type="dxa"/>
            <w:tcBorders>
              <w:top w:val="nil"/>
              <w:left w:val="single" w:color="000000" w:sz="4" w:space="0"/>
              <w:bottom w:val="nil"/>
              <w:right w:val="single" w:color="000000" w:sz="4" w:space="0"/>
            </w:tcBorders>
            <w:noWrap w:val="0"/>
            <w:vAlign w:val="center"/>
          </w:tcPr>
          <w:p w14:paraId="45A55F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二氧化碳捕集、封存、利用（CCS、CCUS）相关工程施工、运营与技术服务</w:t>
            </w:r>
          </w:p>
        </w:tc>
        <w:tc>
          <w:tcPr>
            <w:tcW w:w="2074" w:type="dxa"/>
            <w:tcBorders>
              <w:top w:val="nil"/>
              <w:left w:val="nil"/>
              <w:bottom w:val="nil"/>
              <w:right w:val="nil"/>
            </w:tcBorders>
            <w:noWrap/>
            <w:vAlign w:val="center"/>
          </w:tcPr>
          <w:p w14:paraId="2B149560">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废水（物）处理项目</w:t>
            </w:r>
          </w:p>
        </w:tc>
      </w:tr>
      <w:tr w14:paraId="38DEFF2D">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2A7E44F">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G1</w:t>
            </w:r>
          </w:p>
        </w:tc>
        <w:tc>
          <w:tcPr>
            <w:tcW w:w="4946" w:type="dxa"/>
            <w:tcBorders>
              <w:top w:val="nil"/>
              <w:left w:val="single" w:color="000000" w:sz="4" w:space="0"/>
              <w:bottom w:val="nil"/>
              <w:right w:val="single" w:color="000000" w:sz="4" w:space="0"/>
            </w:tcBorders>
            <w:noWrap w:val="0"/>
            <w:vAlign w:val="center"/>
          </w:tcPr>
          <w:p w14:paraId="11996546">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化学品处理和土壤（指遭受污染的土壤）修复</w:t>
            </w:r>
          </w:p>
        </w:tc>
        <w:tc>
          <w:tcPr>
            <w:tcW w:w="2074" w:type="dxa"/>
            <w:tcBorders>
              <w:top w:val="nil"/>
              <w:left w:val="nil"/>
              <w:bottom w:val="nil"/>
              <w:right w:val="nil"/>
            </w:tcBorders>
            <w:noWrap/>
            <w:vAlign w:val="center"/>
          </w:tcPr>
          <w:p w14:paraId="31D00C27">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663D9E11">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4B763CF4">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G2</w:t>
            </w:r>
          </w:p>
        </w:tc>
        <w:tc>
          <w:tcPr>
            <w:tcW w:w="4946" w:type="dxa"/>
            <w:tcBorders>
              <w:top w:val="nil"/>
              <w:left w:val="single" w:color="000000" w:sz="4" w:space="0"/>
              <w:bottom w:val="nil"/>
              <w:right w:val="single" w:color="000000" w:sz="4" w:space="0"/>
            </w:tcBorders>
            <w:noWrap w:val="0"/>
            <w:vAlign w:val="center"/>
          </w:tcPr>
          <w:p w14:paraId="7091DA6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核废料处理</w:t>
            </w:r>
          </w:p>
        </w:tc>
        <w:tc>
          <w:tcPr>
            <w:tcW w:w="2074" w:type="dxa"/>
            <w:tcBorders>
              <w:top w:val="nil"/>
              <w:left w:val="nil"/>
              <w:bottom w:val="nil"/>
              <w:right w:val="nil"/>
            </w:tcBorders>
            <w:noWrap/>
            <w:vAlign w:val="center"/>
          </w:tcPr>
          <w:p w14:paraId="47565E2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38F749A3">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4BE34D21">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G3</w:t>
            </w:r>
          </w:p>
        </w:tc>
        <w:tc>
          <w:tcPr>
            <w:tcW w:w="4946" w:type="dxa"/>
            <w:tcBorders>
              <w:top w:val="nil"/>
              <w:left w:val="single" w:color="000000" w:sz="4" w:space="0"/>
              <w:bottom w:val="nil"/>
              <w:right w:val="single" w:color="000000" w:sz="4" w:space="0"/>
            </w:tcBorders>
            <w:noWrap w:val="0"/>
            <w:vAlign w:val="center"/>
          </w:tcPr>
          <w:p w14:paraId="0E53E121">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石棉和铅减排处理</w:t>
            </w:r>
          </w:p>
        </w:tc>
        <w:tc>
          <w:tcPr>
            <w:tcW w:w="2074" w:type="dxa"/>
            <w:tcBorders>
              <w:top w:val="nil"/>
              <w:left w:val="nil"/>
              <w:bottom w:val="nil"/>
              <w:right w:val="nil"/>
            </w:tcBorders>
            <w:noWrap/>
            <w:vAlign w:val="center"/>
          </w:tcPr>
          <w:p w14:paraId="3D106ADE">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12C71D87">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F280AA5">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G4</w:t>
            </w:r>
          </w:p>
        </w:tc>
        <w:tc>
          <w:tcPr>
            <w:tcW w:w="4946" w:type="dxa"/>
            <w:tcBorders>
              <w:top w:val="nil"/>
              <w:left w:val="single" w:color="000000" w:sz="4" w:space="0"/>
              <w:bottom w:val="nil"/>
              <w:right w:val="single" w:color="000000" w:sz="4" w:space="0"/>
            </w:tcBorders>
            <w:noWrap w:val="0"/>
            <w:vAlign w:val="center"/>
          </w:tcPr>
          <w:p w14:paraId="71F601EC">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空气净化设施</w:t>
            </w:r>
          </w:p>
        </w:tc>
        <w:tc>
          <w:tcPr>
            <w:tcW w:w="2074" w:type="dxa"/>
            <w:tcBorders>
              <w:top w:val="nil"/>
              <w:left w:val="nil"/>
              <w:bottom w:val="nil"/>
              <w:right w:val="nil"/>
            </w:tcBorders>
            <w:noWrap/>
            <w:vAlign w:val="center"/>
          </w:tcPr>
          <w:p w14:paraId="3DC65341">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2A766C0A">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289B3FBB">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G5</w:t>
            </w:r>
          </w:p>
        </w:tc>
        <w:tc>
          <w:tcPr>
            <w:tcW w:w="4946" w:type="dxa"/>
            <w:tcBorders>
              <w:top w:val="nil"/>
              <w:left w:val="single" w:color="000000" w:sz="4" w:space="0"/>
              <w:bottom w:val="nil"/>
              <w:right w:val="single" w:color="000000" w:sz="4" w:space="0"/>
            </w:tcBorders>
            <w:noWrap w:val="0"/>
            <w:vAlign w:val="center"/>
          </w:tcPr>
          <w:p w14:paraId="22794B03">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其他危险品处理</w:t>
            </w:r>
          </w:p>
        </w:tc>
        <w:tc>
          <w:tcPr>
            <w:tcW w:w="2074" w:type="dxa"/>
            <w:tcBorders>
              <w:top w:val="nil"/>
              <w:left w:val="nil"/>
              <w:bottom w:val="nil"/>
              <w:right w:val="nil"/>
            </w:tcBorders>
            <w:noWrap/>
            <w:vAlign w:val="center"/>
          </w:tcPr>
          <w:p w14:paraId="6C39D4A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5534034A">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44785163">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H2</w:t>
            </w:r>
          </w:p>
        </w:tc>
        <w:tc>
          <w:tcPr>
            <w:tcW w:w="4946" w:type="dxa"/>
            <w:tcBorders>
              <w:top w:val="nil"/>
              <w:left w:val="single" w:color="000000" w:sz="4" w:space="0"/>
              <w:bottom w:val="nil"/>
              <w:right w:val="single" w:color="000000" w:sz="4" w:space="0"/>
            </w:tcBorders>
            <w:noWrap w:val="0"/>
            <w:vAlign w:val="center"/>
          </w:tcPr>
          <w:p w14:paraId="6B193369">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核电运营、工程施工与技术服务</w:t>
            </w:r>
          </w:p>
        </w:tc>
        <w:tc>
          <w:tcPr>
            <w:tcW w:w="2074" w:type="dxa"/>
            <w:tcBorders>
              <w:top w:val="nil"/>
              <w:left w:val="nil"/>
              <w:bottom w:val="nil"/>
              <w:right w:val="nil"/>
            </w:tcBorders>
            <w:noWrap/>
            <w:vAlign w:val="center"/>
          </w:tcPr>
          <w:p w14:paraId="562BC42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042ACEAA">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744E9C2">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H3</w:t>
            </w:r>
          </w:p>
        </w:tc>
        <w:tc>
          <w:tcPr>
            <w:tcW w:w="4946" w:type="dxa"/>
            <w:tcBorders>
              <w:top w:val="nil"/>
              <w:left w:val="single" w:color="000000" w:sz="4" w:space="0"/>
              <w:bottom w:val="nil"/>
              <w:right w:val="single" w:color="000000" w:sz="4" w:space="0"/>
            </w:tcBorders>
            <w:noWrap w:val="0"/>
            <w:vAlign w:val="center"/>
          </w:tcPr>
          <w:p w14:paraId="28CA96F1">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水力发电运营、工程施工与技术服务</w:t>
            </w:r>
          </w:p>
        </w:tc>
        <w:tc>
          <w:tcPr>
            <w:tcW w:w="2074" w:type="dxa"/>
            <w:tcBorders>
              <w:top w:val="nil"/>
              <w:left w:val="nil"/>
              <w:bottom w:val="nil"/>
              <w:right w:val="nil"/>
            </w:tcBorders>
            <w:noWrap/>
            <w:vAlign w:val="center"/>
          </w:tcPr>
          <w:p w14:paraId="1625D05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7E23AD08">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02BEEAFA">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H5</w:t>
            </w:r>
          </w:p>
        </w:tc>
        <w:tc>
          <w:tcPr>
            <w:tcW w:w="4946" w:type="dxa"/>
            <w:tcBorders>
              <w:top w:val="nil"/>
              <w:left w:val="single" w:color="000000" w:sz="4" w:space="0"/>
              <w:bottom w:val="nil"/>
              <w:right w:val="single" w:color="000000" w:sz="4" w:space="0"/>
            </w:tcBorders>
            <w:noWrap w:val="0"/>
            <w:vAlign w:val="center"/>
          </w:tcPr>
          <w:p w14:paraId="35345999">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风能发电运营、工程施工与技术服务</w:t>
            </w:r>
          </w:p>
        </w:tc>
        <w:tc>
          <w:tcPr>
            <w:tcW w:w="2074" w:type="dxa"/>
            <w:tcBorders>
              <w:top w:val="nil"/>
              <w:left w:val="nil"/>
              <w:bottom w:val="nil"/>
              <w:right w:val="nil"/>
            </w:tcBorders>
            <w:noWrap/>
            <w:vAlign w:val="center"/>
          </w:tcPr>
          <w:p w14:paraId="29717645">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7444A86F">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6D553616">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H6</w:t>
            </w:r>
          </w:p>
        </w:tc>
        <w:tc>
          <w:tcPr>
            <w:tcW w:w="4946" w:type="dxa"/>
            <w:tcBorders>
              <w:top w:val="nil"/>
              <w:left w:val="single" w:color="000000" w:sz="4" w:space="0"/>
              <w:bottom w:val="nil"/>
              <w:right w:val="single" w:color="000000" w:sz="4" w:space="0"/>
            </w:tcBorders>
            <w:noWrap w:val="0"/>
            <w:vAlign w:val="center"/>
          </w:tcPr>
          <w:p w14:paraId="27118F66">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太阳能发电运营、工程施工与技术服务</w:t>
            </w:r>
          </w:p>
        </w:tc>
        <w:tc>
          <w:tcPr>
            <w:tcW w:w="2074" w:type="dxa"/>
            <w:tcBorders>
              <w:top w:val="nil"/>
              <w:left w:val="nil"/>
              <w:bottom w:val="nil"/>
              <w:right w:val="nil"/>
            </w:tcBorders>
            <w:noWrap/>
            <w:vAlign w:val="center"/>
          </w:tcPr>
          <w:p w14:paraId="1D87CBC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50B4F531">
        <w:tblPrEx>
          <w:tblCellMar>
            <w:top w:w="0" w:type="dxa"/>
            <w:left w:w="108" w:type="dxa"/>
            <w:bottom w:w="0" w:type="dxa"/>
            <w:right w:w="108" w:type="dxa"/>
          </w:tblCellMar>
        </w:tblPrEx>
        <w:trPr>
          <w:trHeight w:val="660" w:hRule="atLeast"/>
        </w:trPr>
        <w:tc>
          <w:tcPr>
            <w:tcW w:w="1485" w:type="dxa"/>
            <w:tcBorders>
              <w:top w:val="nil"/>
              <w:left w:val="nil"/>
              <w:bottom w:val="nil"/>
              <w:right w:val="nil"/>
            </w:tcBorders>
            <w:noWrap w:val="0"/>
            <w:vAlign w:val="center"/>
          </w:tcPr>
          <w:p w14:paraId="1111E2B5">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H7</w:t>
            </w:r>
          </w:p>
        </w:tc>
        <w:tc>
          <w:tcPr>
            <w:tcW w:w="4946" w:type="dxa"/>
            <w:tcBorders>
              <w:top w:val="nil"/>
              <w:left w:val="single" w:color="000000" w:sz="4" w:space="0"/>
              <w:bottom w:val="nil"/>
              <w:right w:val="single" w:color="000000" w:sz="4" w:space="0"/>
            </w:tcBorders>
            <w:noWrap w:val="0"/>
            <w:vAlign w:val="center"/>
          </w:tcPr>
          <w:p w14:paraId="2CCC5FEE">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生物质能发电工程施工与技术服务（即以生物质及其加工转化成的固体、液体、气体为燃料的热力发电）</w:t>
            </w:r>
          </w:p>
        </w:tc>
        <w:tc>
          <w:tcPr>
            <w:tcW w:w="2074" w:type="dxa"/>
            <w:tcBorders>
              <w:top w:val="nil"/>
              <w:left w:val="nil"/>
              <w:bottom w:val="nil"/>
              <w:right w:val="nil"/>
            </w:tcBorders>
            <w:noWrap/>
            <w:vAlign w:val="center"/>
          </w:tcPr>
          <w:p w14:paraId="6BD67A43">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7C52867B">
        <w:tblPrEx>
          <w:tblCellMar>
            <w:top w:w="0" w:type="dxa"/>
            <w:left w:w="108" w:type="dxa"/>
            <w:bottom w:w="0" w:type="dxa"/>
            <w:right w:w="108" w:type="dxa"/>
          </w:tblCellMar>
        </w:tblPrEx>
        <w:trPr>
          <w:trHeight w:val="600" w:hRule="atLeast"/>
        </w:trPr>
        <w:tc>
          <w:tcPr>
            <w:tcW w:w="1485" w:type="dxa"/>
            <w:tcBorders>
              <w:top w:val="nil"/>
              <w:left w:val="nil"/>
              <w:bottom w:val="nil"/>
              <w:right w:val="nil"/>
            </w:tcBorders>
            <w:noWrap w:val="0"/>
            <w:vAlign w:val="center"/>
          </w:tcPr>
          <w:p w14:paraId="59E0FBD4">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H8</w:t>
            </w:r>
          </w:p>
        </w:tc>
        <w:tc>
          <w:tcPr>
            <w:tcW w:w="4946" w:type="dxa"/>
            <w:tcBorders>
              <w:top w:val="nil"/>
              <w:left w:val="single" w:color="000000" w:sz="4" w:space="0"/>
              <w:bottom w:val="nil"/>
              <w:right w:val="single" w:color="000000" w:sz="4" w:space="0"/>
            </w:tcBorders>
            <w:noWrap w:val="0"/>
            <w:vAlign w:val="center"/>
          </w:tcPr>
          <w:p w14:paraId="0ABC7830">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输配电工程（包括输电线路工程、变电工程、换流站工程、智能电网技术服务等）</w:t>
            </w:r>
          </w:p>
        </w:tc>
        <w:tc>
          <w:tcPr>
            <w:tcW w:w="2074" w:type="dxa"/>
            <w:tcBorders>
              <w:top w:val="nil"/>
              <w:left w:val="nil"/>
              <w:bottom w:val="nil"/>
              <w:right w:val="nil"/>
            </w:tcBorders>
            <w:noWrap/>
            <w:vAlign w:val="center"/>
          </w:tcPr>
          <w:p w14:paraId="0B6D63C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57DD19D7">
        <w:tblPrEx>
          <w:tblCellMar>
            <w:top w:w="0" w:type="dxa"/>
            <w:left w:w="108" w:type="dxa"/>
            <w:bottom w:w="0" w:type="dxa"/>
            <w:right w:w="108" w:type="dxa"/>
          </w:tblCellMar>
        </w:tblPrEx>
        <w:trPr>
          <w:trHeight w:val="660" w:hRule="atLeast"/>
        </w:trPr>
        <w:tc>
          <w:tcPr>
            <w:tcW w:w="1485" w:type="dxa"/>
            <w:tcBorders>
              <w:top w:val="nil"/>
              <w:left w:val="nil"/>
              <w:bottom w:val="nil"/>
              <w:right w:val="nil"/>
            </w:tcBorders>
            <w:noWrap w:val="0"/>
            <w:vAlign w:val="center"/>
          </w:tcPr>
          <w:p w14:paraId="79B2EE52">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H9</w:t>
            </w:r>
          </w:p>
        </w:tc>
        <w:tc>
          <w:tcPr>
            <w:tcW w:w="4946" w:type="dxa"/>
            <w:tcBorders>
              <w:top w:val="nil"/>
              <w:left w:val="single" w:color="000000" w:sz="4" w:space="0"/>
              <w:bottom w:val="nil"/>
              <w:right w:val="single" w:color="000000" w:sz="4" w:space="0"/>
            </w:tcBorders>
            <w:noWrap w:val="0"/>
            <w:vAlign w:val="center"/>
          </w:tcPr>
          <w:p w14:paraId="23F64E1D">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传统能源清洁运营、工程施工与技术服务（包括化石料、热电联电站等的废气综合利用、</w:t>
            </w:r>
            <w:r>
              <w:rPr>
                <w:rFonts w:hint="eastAsia" w:ascii="宋体" w:hAnsi="宋体" w:eastAsia="宋体" w:cs="宋体"/>
                <w:color w:val="auto"/>
                <w:kern w:val="0"/>
                <w:sz w:val="21"/>
                <w:szCs w:val="21"/>
                <w:lang w:eastAsia="zh-CN" w:bidi="ar"/>
              </w:rPr>
              <w:t>地热</w:t>
            </w:r>
            <w:r>
              <w:rPr>
                <w:rFonts w:hint="eastAsia" w:ascii="宋体" w:hAnsi="宋体" w:eastAsia="宋体" w:cs="宋体"/>
                <w:color w:val="auto"/>
                <w:kern w:val="0"/>
                <w:sz w:val="21"/>
                <w:szCs w:val="21"/>
                <w:lang w:bidi="ar"/>
              </w:rPr>
              <w:t>能源高效利用等）</w:t>
            </w:r>
          </w:p>
        </w:tc>
        <w:tc>
          <w:tcPr>
            <w:tcW w:w="2074" w:type="dxa"/>
            <w:tcBorders>
              <w:top w:val="nil"/>
              <w:left w:val="nil"/>
              <w:bottom w:val="nil"/>
              <w:right w:val="nil"/>
            </w:tcBorders>
            <w:noWrap/>
            <w:vAlign w:val="center"/>
          </w:tcPr>
          <w:p w14:paraId="2B7987D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412FA7EB">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6DB3F944">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H10</w:t>
            </w:r>
          </w:p>
        </w:tc>
        <w:tc>
          <w:tcPr>
            <w:tcW w:w="4946" w:type="dxa"/>
            <w:tcBorders>
              <w:top w:val="nil"/>
              <w:left w:val="single" w:color="000000" w:sz="4" w:space="0"/>
              <w:bottom w:val="nil"/>
              <w:right w:val="single" w:color="000000" w:sz="4" w:space="0"/>
            </w:tcBorders>
            <w:noWrap w:val="0"/>
            <w:vAlign w:val="center"/>
          </w:tcPr>
          <w:p w14:paraId="36129E79">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储能（电化学、压缩空气等）相关工程施工、运营与技术服务</w:t>
            </w:r>
          </w:p>
        </w:tc>
        <w:tc>
          <w:tcPr>
            <w:tcW w:w="2074" w:type="dxa"/>
            <w:tcBorders>
              <w:top w:val="nil"/>
              <w:left w:val="nil"/>
              <w:bottom w:val="nil"/>
              <w:right w:val="nil"/>
            </w:tcBorders>
            <w:noWrap/>
            <w:vAlign w:val="center"/>
          </w:tcPr>
          <w:p w14:paraId="2B8DF009">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电力工程建设</w:t>
            </w:r>
          </w:p>
        </w:tc>
      </w:tr>
      <w:tr w14:paraId="6D228980">
        <w:tblPrEx>
          <w:tblCellMar>
            <w:top w:w="0" w:type="dxa"/>
            <w:left w:w="108" w:type="dxa"/>
            <w:bottom w:w="0" w:type="dxa"/>
            <w:right w:w="108" w:type="dxa"/>
          </w:tblCellMar>
        </w:tblPrEx>
        <w:trPr>
          <w:trHeight w:val="410" w:hRule="atLeast"/>
        </w:trPr>
        <w:tc>
          <w:tcPr>
            <w:tcW w:w="1485" w:type="dxa"/>
            <w:tcBorders>
              <w:top w:val="nil"/>
              <w:left w:val="nil"/>
              <w:bottom w:val="single" w:color="000000" w:sz="8" w:space="0"/>
              <w:right w:val="nil"/>
            </w:tcBorders>
            <w:noWrap w:val="0"/>
            <w:vAlign w:val="center"/>
          </w:tcPr>
          <w:p w14:paraId="7182B9D7">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H11</w:t>
            </w:r>
          </w:p>
        </w:tc>
        <w:tc>
          <w:tcPr>
            <w:tcW w:w="4946" w:type="dxa"/>
            <w:tcBorders>
              <w:top w:val="nil"/>
              <w:left w:val="single" w:color="000000" w:sz="4" w:space="0"/>
              <w:bottom w:val="single" w:color="000000" w:sz="8" w:space="0"/>
              <w:right w:val="single" w:color="000000" w:sz="4" w:space="0"/>
            </w:tcBorders>
            <w:noWrap w:val="0"/>
            <w:vAlign w:val="center"/>
          </w:tcPr>
          <w:p w14:paraId="56D5E11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绿氢制备、存储、运输、加工相关工程施工、运营与技术服务</w:t>
            </w:r>
          </w:p>
        </w:tc>
        <w:tc>
          <w:tcPr>
            <w:tcW w:w="2074" w:type="dxa"/>
            <w:tcBorders>
              <w:top w:val="nil"/>
              <w:left w:val="nil"/>
              <w:bottom w:val="single" w:color="000000" w:sz="8" w:space="0"/>
              <w:right w:val="nil"/>
            </w:tcBorders>
            <w:noWrap/>
            <w:vAlign w:val="center"/>
          </w:tcPr>
          <w:p w14:paraId="36BE7F5B">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电力工程建设</w:t>
            </w:r>
          </w:p>
        </w:tc>
      </w:tr>
    </w:tbl>
    <w:p w14:paraId="15609AFD">
      <w:pPr>
        <w:keepNext w:val="0"/>
        <w:keepLines w:val="0"/>
        <w:pageBreakBefore w:val="0"/>
        <w:widowControl/>
        <w:kinsoku/>
        <w:wordWrap/>
        <w:overflowPunct/>
        <w:topLinePunct w:val="0"/>
        <w:autoSpaceDE/>
        <w:autoSpaceDN/>
        <w:bidi w:val="0"/>
        <w:adjustRightInd w:val="0"/>
        <w:snapToGrid w:val="0"/>
        <w:spacing w:line="400" w:lineRule="exact"/>
        <w:textAlignment w:val="auto"/>
        <w:outlineLvl w:val="1"/>
        <w:rPr>
          <w:rFonts w:hint="default" w:ascii="Times New Roman" w:hAnsi="Times New Roman"/>
          <w:bCs/>
          <w:color w:val="auto"/>
          <w:sz w:val="32"/>
          <w:szCs w:val="32"/>
          <w:lang w:eastAsia="zh-CN"/>
        </w:rPr>
      </w:pPr>
      <w:r>
        <w:rPr>
          <w:rFonts w:ascii="宋体" w:hAnsi="宋体" w:cs="宋体"/>
          <w:b/>
          <w:color w:val="auto"/>
          <w:kern w:val="0"/>
          <w:sz w:val="32"/>
          <w:szCs w:val="32"/>
        </w:rPr>
        <w:br w:type="page"/>
      </w:r>
      <w:bookmarkStart w:id="37" w:name="_Toc260182491"/>
      <w:bookmarkStart w:id="38" w:name="_Toc1841071947"/>
      <w:r>
        <w:rPr>
          <w:rFonts w:hint="default" w:ascii="Times New Roman" w:hAnsi="Times New Roman"/>
          <w:bCs/>
          <w:color w:val="auto"/>
          <w:sz w:val="32"/>
          <w:szCs w:val="32"/>
          <w:lang w:eastAsia="zh-CN"/>
        </w:rPr>
        <w:t>（四）关于统计上对公有和非公有控股经济的分类办法</w:t>
      </w:r>
      <w:bookmarkEnd w:id="37"/>
      <w:bookmarkEnd w:id="38"/>
    </w:p>
    <w:p w14:paraId="70EBAD8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rPr>
        <w:t>（国家统计局</w:t>
      </w:r>
      <w:r>
        <w:rPr>
          <w:rFonts w:hint="default" w:ascii="Times New Roman" w:hAnsi="Times New Roman" w:cs="Times New Roman"/>
          <w:b w:val="0"/>
          <w:bCs/>
          <w:color w:val="auto"/>
          <w:kern w:val="0"/>
          <w:sz w:val="21"/>
          <w:szCs w:val="21"/>
          <w:lang w:val="en-US" w:eastAsia="zh-CN"/>
        </w:rPr>
        <w:t>2005年8月</w:t>
      </w:r>
      <w:r>
        <w:rPr>
          <w:rFonts w:hint="default" w:ascii="Times New Roman" w:hAnsi="Times New Roman" w:cs="Times New Roman"/>
          <w:b w:val="0"/>
          <w:bCs/>
          <w:color w:val="auto"/>
          <w:kern w:val="0"/>
          <w:sz w:val="21"/>
          <w:szCs w:val="21"/>
        </w:rPr>
        <w:t>发布</w:t>
      </w:r>
      <w:r>
        <w:rPr>
          <w:rFonts w:hint="default" w:ascii="Times New Roman" w:hAnsi="Times New Roman" w:cs="Times New Roman"/>
          <w:b w:val="0"/>
          <w:bCs/>
          <w:color w:val="auto"/>
          <w:kern w:val="0"/>
          <w:sz w:val="21"/>
          <w:szCs w:val="21"/>
          <w:lang w:val="en-US" w:eastAsia="zh-CN"/>
        </w:rPr>
        <w:t xml:space="preserve">  国统字〔2005〕79号</w:t>
      </w:r>
      <w:r>
        <w:rPr>
          <w:rFonts w:hint="default" w:ascii="Times New Roman" w:hAnsi="Times New Roman" w:cs="Times New Roman"/>
          <w:b w:val="0"/>
          <w:bCs/>
          <w:color w:val="auto"/>
          <w:kern w:val="0"/>
          <w:sz w:val="21"/>
          <w:szCs w:val="21"/>
        </w:rPr>
        <w:t>）</w:t>
      </w:r>
    </w:p>
    <w:p w14:paraId="157BE4B4">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第一条  为了全面反映我国公有经济和非公有经济的控股情况，完善1998年国家统计局关于控股情况的有关规定，制定本办法。</w:t>
      </w:r>
    </w:p>
    <w:p w14:paraId="4959610D">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第二条　本办法以法人企业作为分类对象，根据企业实收资本中某种经济成分的出资人实际出资情况进行分类,并按出资人对企业的控股程度，分为绝对控股和相对控股。</w:t>
      </w:r>
    </w:p>
    <w:p w14:paraId="4379D2C3">
      <w:pPr>
        <w:keepNext w:val="0"/>
        <w:keepLines w:val="0"/>
        <w:pageBreakBefore w:val="0"/>
        <w:kinsoku/>
        <w:wordWrap/>
        <w:overflowPunct/>
        <w:topLinePunct w:val="0"/>
        <w:autoSpaceDE/>
        <w:autoSpaceDN/>
        <w:bidi w:val="0"/>
        <w:adjustRightInd w:val="0"/>
        <w:snapToGrid w:val="0"/>
        <w:spacing w:line="400" w:lineRule="exact"/>
        <w:ind w:firstLine="452" w:firstLineChars="200"/>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第三条　控股经济分类与代码</w:t>
      </w:r>
    </w:p>
    <w:p w14:paraId="38F44DAB">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rPr>
          <w:rFonts w:ascii="Times New Roman" w:hAnsi="Times New Roman" w:cs="Times New Roman"/>
          <w:b/>
          <w:color w:val="auto"/>
          <w:spacing w:val="8"/>
          <w:kern w:val="0"/>
          <w:szCs w:val="21"/>
        </w:rPr>
      </w:pPr>
      <w:r>
        <w:rPr>
          <w:rFonts w:hint="default" w:ascii="Times New Roman" w:hAnsi="Times New Roman" w:cs="Times New Roman"/>
          <w:b/>
          <w:color w:val="auto"/>
          <w:spacing w:val="8"/>
          <w:kern w:val="0"/>
          <w:szCs w:val="21"/>
        </w:rPr>
        <w:t>100  公有</w:t>
      </w:r>
      <w:r>
        <w:rPr>
          <w:rFonts w:hint="default" w:ascii="Times New Roman" w:hAnsi="Times New Roman" w:cs="Times New Roman"/>
          <w:b/>
          <w:bCs/>
          <w:color w:val="auto"/>
          <w:spacing w:val="8"/>
          <w:kern w:val="0"/>
          <w:szCs w:val="21"/>
        </w:rPr>
        <w:t>控股</w:t>
      </w:r>
      <w:r>
        <w:rPr>
          <w:rFonts w:hint="default" w:ascii="Times New Roman" w:hAnsi="Times New Roman" w:cs="Times New Roman"/>
          <w:b/>
          <w:color w:val="auto"/>
          <w:spacing w:val="8"/>
          <w:kern w:val="0"/>
          <w:szCs w:val="21"/>
        </w:rPr>
        <w:t>经济</w:t>
      </w:r>
    </w:p>
    <w:p w14:paraId="2A04FE01">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110    国有控股</w:t>
      </w:r>
    </w:p>
    <w:p w14:paraId="3F5561AD">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111      国有绝对控股</w:t>
      </w:r>
    </w:p>
    <w:p w14:paraId="0FF2F0B3">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112      国有相对控股</w:t>
      </w:r>
    </w:p>
    <w:p w14:paraId="08F0D3D5">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120    集体控股</w:t>
      </w:r>
    </w:p>
    <w:p w14:paraId="78735DAC">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121　　　集体绝对控股</w:t>
      </w:r>
    </w:p>
    <w:p w14:paraId="60B60B14">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122      集体相对控股</w:t>
      </w:r>
    </w:p>
    <w:p w14:paraId="79939A1C">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b/>
          <w:color w:val="auto"/>
          <w:spacing w:val="8"/>
          <w:kern w:val="0"/>
          <w:szCs w:val="21"/>
        </w:rPr>
        <w:t>200  非公有控股经济</w:t>
      </w:r>
    </w:p>
    <w:p w14:paraId="3C20838D">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210    私人控股</w:t>
      </w:r>
    </w:p>
    <w:p w14:paraId="6C4E59B7">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211　　　私人绝对控股</w:t>
      </w:r>
    </w:p>
    <w:p w14:paraId="60421A62">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b/>
          <w:color w:val="auto"/>
          <w:spacing w:val="8"/>
          <w:kern w:val="0"/>
          <w:szCs w:val="21"/>
        </w:rPr>
      </w:pPr>
      <w:r>
        <w:rPr>
          <w:rFonts w:hint="default" w:ascii="Times New Roman" w:hAnsi="Times New Roman" w:cs="Times New Roman"/>
          <w:color w:val="auto"/>
          <w:spacing w:val="8"/>
          <w:kern w:val="0"/>
          <w:szCs w:val="21"/>
        </w:rPr>
        <w:t>212      私人相对控股</w:t>
      </w:r>
    </w:p>
    <w:p w14:paraId="6DF2368C">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220    港澳台商控股</w:t>
      </w:r>
    </w:p>
    <w:p w14:paraId="219246E9">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221      港澳台商绝对控股</w:t>
      </w:r>
    </w:p>
    <w:p w14:paraId="0DF1BFC0">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222      港澳台商相对控股</w:t>
      </w:r>
    </w:p>
    <w:p w14:paraId="461C7401">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230    外商控股</w:t>
      </w:r>
    </w:p>
    <w:p w14:paraId="7604EEB6">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231　　</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外商绝对控股</w:t>
      </w:r>
    </w:p>
    <w:p w14:paraId="71BD6D5D">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xml:space="preserve">232    </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外商相对控股</w:t>
      </w:r>
    </w:p>
    <w:p w14:paraId="27A6DF94">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第四条  绝对控股是指在企业的全部实收资本中，某种经济成分的出资人拥有的实收资本(股本)所占企业的全部实收资本（股本）的比例大于50%。投资双方各占50%，且未明确由谁绝对控股的企业，若其中一方为国有或集体的，一律按公有绝对控股经济处理;若投资双方分别为国有、集体的，则按国有绝对控股处理。</w:t>
      </w:r>
    </w:p>
    <w:p w14:paraId="7E7572D6">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第五条　相对控股是指在企业的全部实收资本中，某经济成分的出资人拥有的实收资本(股本)所占的比例虽未大于50%，但根据协议规定拥有企业的实际控制权（协议控股）；或者相对大于其他任何一种经济成分的出资人所占比例（相对控股）。</w:t>
      </w:r>
    </w:p>
    <w:p w14:paraId="0AD5122E">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第六条  本办法由国家统计局负责解释。</w:t>
      </w:r>
    </w:p>
    <w:p w14:paraId="03D4E30A">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bCs/>
          <w:color w:val="auto"/>
          <w:szCs w:val="21"/>
        </w:rPr>
      </w:pPr>
      <w:r>
        <w:rPr>
          <w:rFonts w:hint="default" w:ascii="Times New Roman" w:hAnsi="Times New Roman"/>
          <w:bCs/>
          <w:color w:val="auto"/>
          <w:szCs w:val="21"/>
        </w:rPr>
        <w:t>第七条  本办法自发布之日起施行。1998年9月2日国家统计局印发的《关于统计上划分经济成分的规定》中的附件三《关于统计上国有经济控股情况的分类办法》同时废止。</w:t>
      </w:r>
    </w:p>
    <w:p w14:paraId="5BCCB530">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br w:type="page"/>
      </w:r>
    </w:p>
    <w:p w14:paraId="21B0689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bCs/>
          <w:color w:val="auto"/>
          <w:sz w:val="32"/>
          <w:szCs w:val="32"/>
          <w:lang w:eastAsia="zh-CN"/>
        </w:rPr>
      </w:pPr>
      <w:bookmarkStart w:id="39" w:name="_Toc1338438746"/>
      <w:bookmarkStart w:id="40" w:name="_Toc1798731222"/>
      <w:r>
        <w:rPr>
          <w:rFonts w:hint="default" w:ascii="Times New Roman" w:hAnsi="Times New Roman"/>
          <w:bCs/>
          <w:color w:val="auto"/>
          <w:sz w:val="32"/>
          <w:szCs w:val="32"/>
          <w:lang w:eastAsia="zh-CN"/>
        </w:rPr>
        <w:t>（五）向国家统计局提供的统计资料清单</w:t>
      </w:r>
      <w:bookmarkEnd w:id="39"/>
      <w:bookmarkEnd w:id="40"/>
    </w:p>
    <w:p w14:paraId="1220D617">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color w:val="auto"/>
          <w:spacing w:val="8"/>
          <w:kern w:val="0"/>
          <w:szCs w:val="21"/>
        </w:rPr>
      </w:pPr>
    </w:p>
    <w:p w14:paraId="416EF362">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综合定报</w:t>
      </w:r>
      <w:r>
        <w:rPr>
          <w:rFonts w:hint="default" w:ascii="Times New Roman" w:hAnsi="Times New Roman" w:cs="Times New Roman"/>
          <w:color w:val="auto"/>
          <w:spacing w:val="8"/>
          <w:kern w:val="0"/>
          <w:szCs w:val="21"/>
          <w:lang w:eastAsia="zh-CN"/>
        </w:rPr>
        <w:t>：</w:t>
      </w:r>
    </w:p>
    <w:p w14:paraId="081BC3BE">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val="en-US" w:eastAsia="zh-CN"/>
        </w:rPr>
      </w:pPr>
      <w:r>
        <w:rPr>
          <w:rFonts w:hint="default" w:ascii="Times New Roman" w:hAnsi="Times New Roman" w:cs="Times New Roman"/>
          <w:color w:val="auto"/>
          <w:spacing w:val="8"/>
          <w:kern w:val="0"/>
          <w:szCs w:val="21"/>
        </w:rPr>
        <w:t>（1）内容：对外承包工程项目分类情况（指标包括新签合同份数、新签合同额、完成营业额）</w:t>
      </w:r>
      <w:r>
        <w:rPr>
          <w:rFonts w:hint="default" w:ascii="Times New Roman" w:hAnsi="Times New Roman" w:cs="Times New Roman"/>
          <w:color w:val="auto"/>
          <w:spacing w:val="8"/>
          <w:kern w:val="0"/>
          <w:szCs w:val="21"/>
          <w:lang w:eastAsia="zh-CN"/>
        </w:rPr>
        <w:t>。</w:t>
      </w:r>
    </w:p>
    <w:p w14:paraId="4B4F68AB">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（2）报送时间：月后30日前</w:t>
      </w:r>
      <w:r>
        <w:rPr>
          <w:rFonts w:hint="default" w:ascii="Times New Roman" w:hAnsi="Times New Roman" w:cs="Times New Roman"/>
          <w:color w:val="auto"/>
          <w:spacing w:val="8"/>
          <w:kern w:val="0"/>
          <w:szCs w:val="21"/>
          <w:lang w:eastAsia="zh-CN"/>
        </w:rPr>
        <w:t>。</w:t>
      </w:r>
    </w:p>
    <w:p w14:paraId="4FDD809A">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综合年报</w:t>
      </w:r>
      <w:r>
        <w:rPr>
          <w:rFonts w:hint="default" w:ascii="Times New Roman" w:hAnsi="Times New Roman" w:cs="Times New Roman"/>
          <w:color w:val="auto"/>
          <w:spacing w:val="8"/>
          <w:kern w:val="0"/>
          <w:szCs w:val="21"/>
          <w:lang w:eastAsia="zh-CN"/>
        </w:rPr>
        <w:t>：</w:t>
      </w:r>
    </w:p>
    <w:p w14:paraId="1B389BB1">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（1）内容：按国别（地区）、按省（自治区、直辖市）分组的对外承包工程业务情况（指标包括新签合同份数、新签合同额、完成营业额、派出人数、年末在外人数）</w:t>
      </w:r>
      <w:r>
        <w:rPr>
          <w:rFonts w:hint="default" w:ascii="Times New Roman" w:hAnsi="Times New Roman" w:cs="Times New Roman"/>
          <w:color w:val="auto"/>
          <w:spacing w:val="8"/>
          <w:kern w:val="0"/>
          <w:szCs w:val="21"/>
          <w:lang w:eastAsia="zh-CN"/>
        </w:rPr>
        <w:t>。</w:t>
      </w:r>
    </w:p>
    <w:p w14:paraId="0CD6872D">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（2）报送时间：年后3月31日前</w:t>
      </w:r>
      <w:r>
        <w:rPr>
          <w:rFonts w:hint="default" w:ascii="Times New Roman" w:hAnsi="Times New Roman" w:cs="Times New Roman"/>
          <w:color w:val="auto"/>
          <w:spacing w:val="8"/>
          <w:kern w:val="0"/>
          <w:szCs w:val="21"/>
          <w:lang w:eastAsia="zh-CN"/>
        </w:rPr>
        <w:t>。</w:t>
      </w:r>
    </w:p>
    <w:p w14:paraId="25C83F78">
      <w:pPr>
        <w:keepNext w:val="0"/>
        <w:keepLines w:val="0"/>
        <w:pageBreakBefore w:val="0"/>
        <w:kinsoku/>
        <w:wordWrap/>
        <w:overflowPunct/>
        <w:topLinePunct w:val="0"/>
        <w:autoSpaceDE/>
        <w:autoSpaceDN/>
        <w:bidi w:val="0"/>
        <w:adjustRightInd w:val="0"/>
        <w:snapToGrid w:val="0"/>
        <w:spacing w:line="400" w:lineRule="exact"/>
        <w:textAlignment w:val="auto"/>
        <w:rPr>
          <w:rFonts w:ascii="Times New Roman" w:hAnsi="Times New Roman"/>
          <w:color w:val="auto"/>
        </w:rPr>
      </w:pPr>
    </w:p>
    <w:p w14:paraId="61EA4EB2">
      <w:pPr>
        <w:pStyle w:val="3"/>
        <w:rPr>
          <w:rFonts w:ascii="Times New Roman" w:hAnsi="Times New Roman"/>
          <w:color w:val="auto"/>
        </w:rPr>
      </w:pPr>
    </w:p>
    <w:p w14:paraId="6A7B67FF">
      <w:pPr>
        <w:pStyle w:val="4"/>
        <w:rPr>
          <w:rFonts w:ascii="Times New Roman" w:hAnsi="Times New Roman" w:cs="Times New Roman"/>
          <w:color w:val="auto"/>
        </w:rPr>
      </w:pPr>
    </w:p>
    <w:p w14:paraId="47C6A9C7">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bCs/>
          <w:color w:val="auto"/>
          <w:sz w:val="32"/>
          <w:szCs w:val="32"/>
          <w:lang w:eastAsia="zh-CN"/>
        </w:rPr>
      </w:pPr>
      <w:bookmarkStart w:id="41" w:name="_Toc2064904200"/>
      <w:bookmarkStart w:id="42" w:name="_Toc807255681"/>
      <w:r>
        <w:rPr>
          <w:rFonts w:hint="default" w:ascii="Times New Roman" w:hAnsi="Times New Roman"/>
          <w:bCs/>
          <w:color w:val="auto"/>
          <w:sz w:val="32"/>
          <w:szCs w:val="32"/>
          <w:lang w:eastAsia="zh-CN"/>
        </w:rPr>
        <w:t>（六）向统计信息共享数据库提供的统计资料清单</w:t>
      </w:r>
      <w:bookmarkEnd w:id="41"/>
      <w:bookmarkEnd w:id="42"/>
    </w:p>
    <w:p w14:paraId="55D2D8F8">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color w:val="auto"/>
          <w:spacing w:val="8"/>
          <w:kern w:val="0"/>
          <w:szCs w:val="21"/>
        </w:rPr>
      </w:pPr>
    </w:p>
    <w:p w14:paraId="410FB4F0">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1、综合定报</w:t>
      </w:r>
      <w:r>
        <w:rPr>
          <w:rFonts w:hint="default" w:ascii="Times New Roman" w:hAnsi="Times New Roman" w:cs="Times New Roman"/>
          <w:color w:val="auto"/>
          <w:spacing w:val="8"/>
          <w:kern w:val="0"/>
          <w:szCs w:val="21"/>
          <w:lang w:eastAsia="zh-CN"/>
        </w:rPr>
        <w:t>：</w:t>
      </w:r>
    </w:p>
    <w:p w14:paraId="554A417C">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（1）内容：对外承包工程项目分类情况（指标包括新签合同份数、新签合同额、完成营业额）</w:t>
      </w:r>
      <w:r>
        <w:rPr>
          <w:rFonts w:hint="default" w:ascii="Times New Roman" w:hAnsi="Times New Roman" w:cs="Times New Roman"/>
          <w:color w:val="auto"/>
          <w:spacing w:val="8"/>
          <w:kern w:val="0"/>
          <w:szCs w:val="21"/>
          <w:lang w:eastAsia="zh-CN"/>
        </w:rPr>
        <w:t>。</w:t>
      </w:r>
    </w:p>
    <w:p w14:paraId="59AB8A69">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（2）报送时间：月后30日前</w:t>
      </w:r>
      <w:r>
        <w:rPr>
          <w:rFonts w:hint="default" w:ascii="Times New Roman" w:hAnsi="Times New Roman" w:cs="Times New Roman"/>
          <w:color w:val="auto"/>
          <w:spacing w:val="8"/>
          <w:kern w:val="0"/>
          <w:szCs w:val="21"/>
          <w:lang w:eastAsia="zh-CN"/>
        </w:rPr>
        <w:t>。</w:t>
      </w:r>
    </w:p>
    <w:p w14:paraId="7A1E8A27">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2、综合年报</w:t>
      </w:r>
      <w:r>
        <w:rPr>
          <w:rFonts w:hint="default" w:ascii="Times New Roman" w:hAnsi="Times New Roman" w:cs="Times New Roman"/>
          <w:color w:val="auto"/>
          <w:spacing w:val="8"/>
          <w:kern w:val="0"/>
          <w:szCs w:val="21"/>
          <w:lang w:eastAsia="zh-CN"/>
        </w:rPr>
        <w:t>：</w:t>
      </w:r>
    </w:p>
    <w:p w14:paraId="5E083C9F">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（1）内容：按国别（地区）、按省（自治区、直辖市）分组的对外承包工程业务情况（指标包括新签合同份数、新签合同额、完成营业额、派出人数、年末在外人数）</w:t>
      </w:r>
      <w:r>
        <w:rPr>
          <w:rFonts w:hint="default" w:ascii="Times New Roman" w:hAnsi="Times New Roman" w:cs="Times New Roman"/>
          <w:color w:val="auto"/>
          <w:spacing w:val="8"/>
          <w:kern w:val="0"/>
          <w:szCs w:val="21"/>
          <w:lang w:eastAsia="zh-CN"/>
        </w:rPr>
        <w:t>。</w:t>
      </w:r>
    </w:p>
    <w:p w14:paraId="12893B8D">
      <w:pPr>
        <w:widowControl/>
        <w:adjustRightInd w:val="0"/>
        <w:snapToGrid w:val="0"/>
        <w:spacing w:line="400" w:lineRule="exact"/>
        <w:ind w:firstLine="418" w:firstLineChars="185"/>
        <w:jc w:val="left"/>
        <w:rPr>
          <w:rFonts w:ascii="Times New Roman" w:hAnsi="Times New Roman"/>
          <w:color w:val="auto"/>
        </w:rPr>
      </w:pPr>
      <w:r>
        <w:rPr>
          <w:rFonts w:hint="default" w:ascii="Times New Roman" w:hAnsi="Times New Roman" w:cs="Times New Roman"/>
          <w:color w:val="auto"/>
          <w:spacing w:val="8"/>
          <w:kern w:val="0"/>
          <w:szCs w:val="21"/>
        </w:rPr>
        <w:t>（2）报送时间：年后3月31日</w:t>
      </w:r>
      <w:r>
        <w:rPr>
          <w:rFonts w:hint="default" w:ascii="Times New Roman" w:hAnsi="Times New Roman" w:cs="Times New Roman"/>
          <w:color w:val="auto"/>
          <w:spacing w:val="8"/>
          <w:kern w:val="0"/>
          <w:szCs w:val="21"/>
          <w:lang w:eastAsia="zh-CN"/>
        </w:rPr>
        <w:t>。</w:t>
      </w:r>
    </w:p>
    <w:p w14:paraId="65FFCF66">
      <w:pPr>
        <w:widowControl w:val="0"/>
        <w:numPr>
          <w:ilvl w:val="0"/>
          <w:numId w:val="0"/>
        </w:numPr>
        <w:wordWrap/>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4708A62D">
      <w:pPr>
        <w:pStyle w:val="3"/>
        <w:rPr>
          <w:rFonts w:hint="eastAsia" w:ascii="仿宋_GB2312" w:hAnsi="仿宋_GB2312" w:eastAsia="仿宋_GB2312" w:cs="仿宋_GB2312"/>
          <w:sz w:val="32"/>
          <w:szCs w:val="32"/>
          <w:lang w:val="en-US" w:eastAsia="zh-CN"/>
        </w:rPr>
      </w:pPr>
    </w:p>
    <w:p w14:paraId="32FF7496">
      <w:pPr>
        <w:pStyle w:val="4"/>
        <w:rPr>
          <w:rFonts w:hint="eastAsia" w:ascii="仿宋_GB2312" w:hAnsi="仿宋_GB2312" w:eastAsia="仿宋_GB2312" w:cs="仿宋_GB2312"/>
          <w:sz w:val="32"/>
          <w:szCs w:val="32"/>
          <w:lang w:val="en-US" w:eastAsia="zh-CN"/>
        </w:rPr>
      </w:pPr>
    </w:p>
    <w:p w14:paraId="0D133282">
      <w:pPr>
        <w:widowControl/>
        <w:spacing w:before="100" w:beforeAutospacing="1" w:after="100" w:afterAutospacing="1" w:line="384" w:lineRule="auto"/>
        <w:jc w:val="center"/>
        <w:outlineLvl w:val="9"/>
        <w:rPr>
          <w:rFonts w:hint="eastAsia" w:ascii="宋体" w:hAnsi="宋体" w:cs="宋体"/>
          <w:b/>
          <w:kern w:val="0"/>
          <w:sz w:val="52"/>
          <w:szCs w:val="52"/>
        </w:rPr>
      </w:pPr>
      <w:r>
        <w:rPr>
          <w:rFonts w:hint="default"/>
          <w:lang w:val="en-US" w:eastAsia="zh-CN"/>
        </w:rPr>
        <w:br w:type="page"/>
      </w:r>
    </w:p>
    <w:p w14:paraId="18F26CB1">
      <w:pPr>
        <w:widowControl/>
        <w:spacing w:before="100" w:beforeAutospacing="1" w:after="100" w:afterAutospacing="1" w:line="384" w:lineRule="auto"/>
        <w:jc w:val="center"/>
        <w:outlineLvl w:val="9"/>
        <w:rPr>
          <w:rFonts w:hint="eastAsia" w:ascii="宋体" w:hAnsi="宋体" w:cs="宋体"/>
          <w:b/>
          <w:kern w:val="0"/>
          <w:sz w:val="52"/>
          <w:szCs w:val="52"/>
        </w:rPr>
      </w:pPr>
    </w:p>
    <w:p w14:paraId="0AA7FD10">
      <w:pPr>
        <w:widowControl/>
        <w:spacing w:before="100" w:beforeAutospacing="1" w:after="100" w:afterAutospacing="1" w:line="384" w:lineRule="auto"/>
        <w:jc w:val="center"/>
        <w:outlineLvl w:val="9"/>
        <w:rPr>
          <w:rFonts w:hint="eastAsia" w:ascii="宋体" w:hAnsi="宋体" w:cs="宋体"/>
          <w:b/>
          <w:kern w:val="0"/>
          <w:sz w:val="52"/>
          <w:szCs w:val="52"/>
        </w:rPr>
      </w:pPr>
    </w:p>
    <w:p w14:paraId="57E2C993">
      <w:pPr>
        <w:widowControl/>
        <w:spacing w:before="0" w:beforeAutospacing="0" w:after="0" w:afterAutospacing="0" w:line="620" w:lineRule="exact"/>
        <w:ind w:right="-514"/>
        <w:jc w:val="center"/>
        <w:rPr>
          <w:rFonts w:hint="eastAsia" w:ascii="宋体" w:hAnsi="Times New Roman" w:cs="Times New Roman"/>
          <w:b w:val="0"/>
          <w:bCs/>
          <w:kern w:val="2"/>
          <w:sz w:val="52"/>
          <w:szCs w:val="52"/>
          <w:highlight w:val="none"/>
        </w:rPr>
      </w:pPr>
      <w:r>
        <w:rPr>
          <w:rFonts w:hint="eastAsia" w:ascii="宋体" w:hAnsi="Times New Roman" w:cs="Times New Roman"/>
          <w:b w:val="0"/>
          <w:bCs/>
          <w:kern w:val="2"/>
          <w:sz w:val="52"/>
          <w:szCs w:val="52"/>
          <w:highlight w:val="none"/>
        </w:rPr>
        <w:t>对外劳务合作业务统计调查制度</w:t>
      </w:r>
    </w:p>
    <w:p w14:paraId="378856E3">
      <w:pPr>
        <w:widowControl/>
        <w:spacing w:before="100" w:beforeAutospacing="1" w:after="100" w:afterAutospacing="1" w:line="384" w:lineRule="auto"/>
        <w:jc w:val="center"/>
        <w:rPr>
          <w:rFonts w:hint="eastAsia" w:ascii="宋体" w:hAnsi="宋体" w:cs="宋体"/>
          <w:kern w:val="0"/>
          <w:sz w:val="36"/>
          <w:szCs w:val="36"/>
          <w:lang w:val="en" w:eastAsia="zh-CN"/>
        </w:rPr>
      </w:pPr>
      <w:r>
        <w:rPr>
          <w:rFonts w:hint="eastAsia" w:ascii="宋体" w:hAnsi="宋体" w:cs="宋体"/>
          <w:kern w:val="0"/>
          <w:sz w:val="36"/>
          <w:szCs w:val="36"/>
          <w:lang w:val="en-US" w:eastAsia="zh-CN"/>
        </w:rPr>
        <w:t xml:space="preserve"> </w:t>
      </w:r>
    </w:p>
    <w:p w14:paraId="24B64D7C">
      <w:pPr>
        <w:widowControl/>
        <w:spacing w:before="100" w:beforeAutospacing="1" w:after="100" w:afterAutospacing="1" w:line="384" w:lineRule="auto"/>
        <w:jc w:val="center"/>
        <w:rPr>
          <w:rFonts w:ascii="宋体" w:hAnsi="宋体" w:cs="宋体"/>
          <w:b/>
          <w:kern w:val="0"/>
          <w:sz w:val="36"/>
          <w:szCs w:val="36"/>
          <w:lang w:val="en"/>
        </w:rPr>
      </w:pPr>
    </w:p>
    <w:p w14:paraId="59B1D6FF">
      <w:pPr>
        <w:widowControl/>
        <w:spacing w:before="100" w:beforeAutospacing="1" w:after="100" w:afterAutospacing="1" w:line="384" w:lineRule="auto"/>
        <w:jc w:val="center"/>
        <w:rPr>
          <w:rFonts w:ascii="宋体" w:hAnsi="宋体" w:cs="宋体"/>
          <w:b/>
          <w:kern w:val="0"/>
          <w:sz w:val="52"/>
          <w:szCs w:val="52"/>
        </w:rPr>
      </w:pPr>
    </w:p>
    <w:p w14:paraId="332EF332">
      <w:pPr>
        <w:widowControl/>
        <w:spacing w:before="100" w:beforeAutospacing="1" w:after="100" w:afterAutospacing="1" w:line="384" w:lineRule="auto"/>
        <w:rPr>
          <w:rFonts w:ascii="宋体" w:hAnsi="宋体" w:cs="宋体"/>
          <w:kern w:val="0"/>
          <w:szCs w:val="21"/>
        </w:rPr>
      </w:pPr>
    </w:p>
    <w:p w14:paraId="19627EFC">
      <w:pPr>
        <w:widowControl/>
        <w:spacing w:before="100" w:beforeAutospacing="1" w:after="100" w:afterAutospacing="1" w:line="384" w:lineRule="auto"/>
        <w:rPr>
          <w:rFonts w:ascii="宋体" w:hAnsi="宋体" w:cs="宋体"/>
          <w:kern w:val="0"/>
          <w:szCs w:val="21"/>
        </w:rPr>
      </w:pPr>
    </w:p>
    <w:p w14:paraId="56E80B34">
      <w:pPr>
        <w:widowControl/>
        <w:spacing w:before="100" w:beforeAutospacing="1" w:after="100" w:afterAutospacing="1" w:line="384" w:lineRule="auto"/>
        <w:rPr>
          <w:rFonts w:ascii="宋体" w:hAnsi="宋体" w:cs="宋体"/>
          <w:kern w:val="0"/>
          <w:szCs w:val="21"/>
        </w:rPr>
      </w:pPr>
    </w:p>
    <w:p w14:paraId="18FE715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中华人民共和国商务部制定</w:t>
      </w:r>
    </w:p>
    <w:p w14:paraId="22D9E800">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国家统计局批准</w:t>
      </w:r>
    </w:p>
    <w:p w14:paraId="398A3E96">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202</w:t>
      </w:r>
      <w:r>
        <w:rPr>
          <w:rFonts w:hint="eastAsia" w:ascii="宋体" w:hAnsi="宋体" w:cs="宋体"/>
          <w:kern w:val="0"/>
          <w:sz w:val="32"/>
          <w:szCs w:val="32"/>
          <w:lang w:val="en-US" w:eastAsia="zh-CN"/>
        </w:rPr>
        <w:t>5</w:t>
      </w:r>
      <w:r>
        <w:rPr>
          <w:rFonts w:hint="eastAsia" w:ascii="宋体" w:hAnsi="宋体" w:eastAsia="宋体" w:cs="宋体"/>
          <w:kern w:val="0"/>
          <w:sz w:val="32"/>
          <w:szCs w:val="32"/>
        </w:rPr>
        <w:t>年</w:t>
      </w:r>
      <w:r>
        <w:rPr>
          <w:rFonts w:hint="eastAsia" w:ascii="宋体" w:hAnsi="宋体" w:cs="宋体"/>
          <w:kern w:val="0"/>
          <w:sz w:val="32"/>
          <w:szCs w:val="32"/>
          <w:lang w:val="en-US" w:eastAsia="zh-CN"/>
        </w:rPr>
        <w:t>1</w:t>
      </w:r>
      <w:r>
        <w:rPr>
          <w:rFonts w:hint="eastAsia" w:ascii="宋体" w:hAnsi="宋体" w:eastAsia="宋体" w:cs="宋体"/>
          <w:kern w:val="0"/>
          <w:sz w:val="32"/>
          <w:szCs w:val="32"/>
        </w:rPr>
        <w:t>月</w:t>
      </w:r>
    </w:p>
    <w:p w14:paraId="36E73495">
      <w:pPr>
        <w:widowControl/>
        <w:spacing w:before="100" w:beforeAutospacing="1" w:after="100" w:afterAutospacing="1" w:line="384" w:lineRule="auto"/>
        <w:jc w:val="center"/>
        <w:rPr>
          <w:rFonts w:ascii="宋体" w:hAnsi="宋体" w:cs="宋体"/>
          <w:kern w:val="0"/>
          <w:sz w:val="32"/>
          <w:szCs w:val="32"/>
        </w:rPr>
      </w:pPr>
    </w:p>
    <w:p w14:paraId="5AE9421E">
      <w:pPr>
        <w:widowControl/>
        <w:spacing w:before="100" w:beforeAutospacing="1" w:after="100" w:afterAutospacing="1" w:line="384" w:lineRule="auto"/>
        <w:jc w:val="center"/>
        <w:rPr>
          <w:rFonts w:ascii="宋体" w:hAnsi="宋体" w:cs="宋体"/>
          <w:kern w:val="0"/>
          <w:sz w:val="32"/>
          <w:szCs w:val="32"/>
        </w:rPr>
      </w:pPr>
    </w:p>
    <w:p w14:paraId="191F84AA">
      <w:pPr>
        <w:widowControl/>
        <w:spacing w:before="100" w:beforeAutospacing="1" w:after="100" w:afterAutospacing="1" w:line="384" w:lineRule="auto"/>
        <w:jc w:val="center"/>
        <w:rPr>
          <w:rFonts w:ascii="宋体" w:hAnsi="宋体" w:cs="宋体"/>
          <w:kern w:val="0"/>
          <w:sz w:val="32"/>
          <w:szCs w:val="32"/>
        </w:rPr>
      </w:pPr>
    </w:p>
    <w:p w14:paraId="219400C5">
      <w:pPr>
        <w:widowControl/>
        <w:spacing w:before="100" w:beforeAutospacing="1" w:after="100" w:afterAutospacing="1" w:line="384" w:lineRule="auto"/>
        <w:jc w:val="center"/>
        <w:rPr>
          <w:rFonts w:ascii="宋体" w:hAnsi="宋体" w:cs="宋体"/>
          <w:b w:val="0"/>
          <w:bCs/>
          <w:kern w:val="0"/>
          <w:sz w:val="32"/>
          <w:szCs w:val="32"/>
          <w:lang w:val="en"/>
        </w:rPr>
      </w:pPr>
      <w:r>
        <w:rPr>
          <w:rFonts w:hint="eastAsia" w:ascii="宋体" w:hAnsi="宋体" w:cs="宋体"/>
          <w:b w:val="0"/>
          <w:bCs/>
          <w:kern w:val="0"/>
          <w:sz w:val="32"/>
          <w:szCs w:val="32"/>
          <w:lang w:val="en"/>
        </w:rPr>
        <w:t>本</w:t>
      </w:r>
      <w:r>
        <w:rPr>
          <w:rFonts w:hint="eastAsia" w:ascii="宋体" w:hAnsi="宋体" w:cs="宋体"/>
          <w:b w:val="0"/>
          <w:bCs/>
          <w:kern w:val="0"/>
          <w:sz w:val="32"/>
          <w:szCs w:val="32"/>
          <w:lang w:val="en" w:eastAsia="zh-CN"/>
        </w:rPr>
        <w:t>调查</w:t>
      </w:r>
      <w:r>
        <w:rPr>
          <w:rFonts w:hint="eastAsia" w:ascii="宋体" w:hAnsi="宋体" w:cs="宋体"/>
          <w:b w:val="0"/>
          <w:bCs/>
          <w:kern w:val="0"/>
          <w:sz w:val="32"/>
          <w:szCs w:val="32"/>
          <w:lang w:val="en"/>
        </w:rPr>
        <w:t>制度根据《中华人民共和国统计法》</w:t>
      </w:r>
      <w:r>
        <w:rPr>
          <w:rFonts w:hint="eastAsia" w:ascii="宋体" w:hAnsi="宋体" w:cs="宋体"/>
          <w:b w:val="0"/>
          <w:bCs/>
          <w:kern w:val="0"/>
          <w:sz w:val="32"/>
          <w:szCs w:val="32"/>
          <w:lang w:val="en" w:eastAsia="zh-CN"/>
        </w:rPr>
        <w:t>的</w:t>
      </w:r>
      <w:r>
        <w:rPr>
          <w:rFonts w:hint="eastAsia" w:ascii="宋体" w:hAnsi="宋体" w:cs="宋体"/>
          <w:b w:val="0"/>
          <w:bCs/>
          <w:kern w:val="0"/>
          <w:sz w:val="32"/>
          <w:szCs w:val="32"/>
          <w:lang w:val="en"/>
        </w:rPr>
        <w:t>有关规定制定</w:t>
      </w:r>
    </w:p>
    <w:p w14:paraId="46BB69D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235042C6">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r>
        <w:rPr>
          <w:rFonts w:hint="eastAsia" w:ascii="仿宋_GB2312" w:hAnsi="宋体" w:eastAsia="仿宋_GB2312" w:cs="宋体"/>
          <w:bCs/>
          <w:kern w:val="0"/>
          <w:sz w:val="28"/>
          <w:szCs w:val="28"/>
        </w:rPr>
        <w:t>。</w:t>
      </w:r>
    </w:p>
    <w:p w14:paraId="5C29C65F">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31AC9BB7">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十一</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统计机构和统计人员对在统计工作中知悉的国家秘密、工作秘密、商业秘密、个人隐私和个人信息，应当予以保密，不得泄露或者向他人非法提供</w:t>
      </w:r>
      <w:r>
        <w:rPr>
          <w:rFonts w:hint="eastAsia" w:ascii="仿宋_GB2312" w:hAnsi="宋体" w:eastAsia="仿宋_GB2312" w:cs="宋体"/>
          <w:bCs/>
          <w:kern w:val="0"/>
          <w:sz w:val="28"/>
          <w:szCs w:val="28"/>
        </w:rPr>
        <w:t>。</w:t>
      </w:r>
    </w:p>
    <w:p w14:paraId="4D96E35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3E06BCE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《中华人民共和国统计法》第二十</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统计调查中获得的能够识别或者推断单个统计调查对象身份的资料，任何单位和个人不得对外提供、泄露，不得用于统计以外的目的</w:t>
      </w:r>
      <w:r>
        <w:rPr>
          <w:rFonts w:hint="eastAsia" w:ascii="仿宋_GB2312" w:hAnsi="宋体" w:eastAsia="仿宋_GB2312" w:cs="宋体"/>
          <w:bCs/>
          <w:kern w:val="0"/>
          <w:sz w:val="28"/>
          <w:szCs w:val="28"/>
        </w:rPr>
        <w:t>。</w:t>
      </w:r>
    </w:p>
    <w:p w14:paraId="6F6CA3E6">
      <w:pPr>
        <w:widowControl/>
        <w:spacing w:before="100" w:beforeAutospacing="1" w:after="100" w:afterAutospacing="1" w:line="384" w:lineRule="auto"/>
        <w:ind w:firstLine="422" w:firstLineChars="150"/>
        <w:rPr>
          <w:rFonts w:ascii="仿宋_GB2312" w:hAnsi="宋体" w:eastAsia="仿宋_GB2312" w:cs="宋体"/>
          <w:b/>
          <w:kern w:val="0"/>
          <w:sz w:val="28"/>
          <w:szCs w:val="28"/>
        </w:rPr>
      </w:pPr>
    </w:p>
    <w:p w14:paraId="687BD834">
      <w:pPr>
        <w:widowControl/>
        <w:spacing w:before="100" w:beforeAutospacing="1" w:after="100" w:afterAutospacing="1" w:line="384" w:lineRule="auto"/>
        <w:jc w:val="center"/>
        <w:rPr>
          <w:rFonts w:ascii="宋体" w:hAnsi="宋体" w:cs="宋体"/>
          <w:kern w:val="0"/>
          <w:sz w:val="32"/>
          <w:szCs w:val="32"/>
        </w:rPr>
      </w:pPr>
    </w:p>
    <w:p w14:paraId="23D6AE12">
      <w:pPr>
        <w:widowControl/>
        <w:spacing w:before="100" w:beforeAutospacing="1" w:after="100" w:afterAutospacing="1" w:line="384" w:lineRule="auto"/>
        <w:jc w:val="center"/>
        <w:outlineLvl w:val="9"/>
        <w:rPr>
          <w:rFonts w:ascii="黑体" w:hAnsi="宋体" w:eastAsia="黑体" w:cs="宋体"/>
          <w:kern w:val="0"/>
          <w:sz w:val="32"/>
          <w:szCs w:val="32"/>
        </w:rPr>
        <w:sectPr>
          <w:footerReference r:id="rId5" w:type="default"/>
          <w:pgSz w:w="11906" w:h="16838"/>
          <w:pgMar w:top="1440" w:right="1486" w:bottom="1440" w:left="13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517F51F">
      <w:pPr>
        <w:widowControl/>
        <w:spacing w:before="0" w:beforeAutospacing="0" w:after="0" w:afterAutospacing="0" w:line="240" w:lineRule="auto"/>
        <w:jc w:val="left"/>
        <w:outlineLvl w:val="9"/>
        <w:rPr>
          <w:rFonts w:ascii="Calibri" w:hAnsi="Calibri" w:eastAsia="宋体" w:cs="Times New Roman"/>
          <w:kern w:val="2"/>
          <w:sz w:val="21"/>
          <w:szCs w:val="24"/>
        </w:rPr>
      </w:pPr>
    </w:p>
    <w:p w14:paraId="12A96261">
      <w:pPr>
        <w:spacing w:line="400" w:lineRule="exact"/>
        <w:jc w:val="center"/>
        <w:rPr>
          <w:rFonts w:eastAsia="黑体"/>
          <w:sz w:val="32"/>
        </w:rPr>
      </w:pPr>
      <w:r>
        <w:rPr>
          <w:rFonts w:hint="eastAsia" w:eastAsia="黑体"/>
          <w:sz w:val="32"/>
        </w:rPr>
        <w:t>目  录</w:t>
      </w:r>
    </w:p>
    <w:p w14:paraId="18C39912">
      <w:pPr>
        <w:pStyle w:val="8"/>
        <w:keepNext w:val="0"/>
        <w:keepLines w:val="0"/>
        <w:pageBreakBefore w:val="0"/>
        <w:widowControl w:val="0"/>
        <w:tabs>
          <w:tab w:val="right" w:leader="dot" w:pos="9040"/>
        </w:tabs>
        <w:kinsoku/>
        <w:wordWrap/>
        <w:overflowPunct/>
        <w:topLinePunct w:val="0"/>
        <w:autoSpaceDE/>
        <w:autoSpaceDN/>
        <w:bidi w:val="0"/>
        <w:adjustRightInd w:val="0"/>
        <w:snapToGrid w:val="0"/>
        <w:spacing w:beforeAutospacing="0" w:afterAutospacing="0" w:line="400" w:lineRule="atLeast"/>
        <w:textAlignment w:val="auto"/>
        <w:rPr>
          <w:rFonts w:hint="eastAsia" w:ascii="宋体" w:hAnsi="宋体" w:eastAsia="宋体" w:cs="宋体"/>
          <w:kern w:val="0"/>
          <w:sz w:val="21"/>
          <w:szCs w:val="21"/>
        </w:rPr>
      </w:pPr>
    </w:p>
    <w:p w14:paraId="42D5BCB9">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 w:val="21"/>
          <w:szCs w:val="21"/>
        </w:rPr>
        <w:fldChar w:fldCharType="begin"/>
      </w:r>
      <w:r>
        <w:rPr>
          <w:rFonts w:hint="default" w:ascii="Times New Roman" w:hAnsi="Times New Roman" w:eastAsia="宋体" w:cs="Times New Roman"/>
          <w:kern w:val="0"/>
          <w:sz w:val="21"/>
          <w:szCs w:val="21"/>
        </w:rPr>
        <w:instrText xml:space="preserve">TOC \o "1-3" \h \u </w:instrText>
      </w:r>
      <w:r>
        <w:rPr>
          <w:rFonts w:hint="default" w:ascii="Times New Roman" w:hAnsi="Times New Roman" w:eastAsia="宋体" w:cs="Times New Roman"/>
          <w:kern w:val="0"/>
          <w:sz w:val="21"/>
          <w:szCs w:val="21"/>
        </w:rPr>
        <w:fldChar w:fldCharType="separate"/>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_Toc820276590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一、总说明</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_Toc820276590 </w:instrText>
      </w:r>
      <w:r>
        <w:rPr>
          <w:rFonts w:hint="default" w:ascii="Times New Roman" w:hAnsi="Times New Roman" w:eastAsia="宋体" w:cs="Times New Roman"/>
        </w:rPr>
        <w:fldChar w:fldCharType="separate"/>
      </w:r>
      <w:r>
        <w:rPr>
          <w:rFonts w:hint="default" w:ascii="Times New Roman" w:hAnsi="Times New Roman" w:eastAsia="宋体" w:cs="Times New Roman"/>
        </w:rPr>
        <w:t>29</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520D2220">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_Toc268536871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二、报表目录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_Toc268536871 </w:instrText>
      </w:r>
      <w:r>
        <w:rPr>
          <w:rFonts w:hint="default" w:ascii="Times New Roman" w:hAnsi="Times New Roman" w:eastAsia="宋体" w:cs="Times New Roman"/>
        </w:rPr>
        <w:fldChar w:fldCharType="separate"/>
      </w:r>
      <w:r>
        <w:rPr>
          <w:rFonts w:hint="default" w:ascii="Times New Roman" w:hAnsi="Times New Roman" w:eastAsia="宋体" w:cs="Times New Roman"/>
        </w:rPr>
        <w:t>32</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339F3493">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_Toc1864679322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lang w:eastAsia="zh-CN"/>
        </w:rPr>
        <w:t>三、</w:t>
      </w:r>
      <w:r>
        <w:rPr>
          <w:rFonts w:hint="default" w:ascii="Times New Roman" w:hAnsi="Times New Roman" w:eastAsia="宋体" w:cs="Times New Roman"/>
          <w:szCs w:val="32"/>
        </w:rPr>
        <w:t>调查表式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_Toc1864679322 </w:instrText>
      </w:r>
      <w:r>
        <w:rPr>
          <w:rFonts w:hint="default" w:ascii="Times New Roman" w:hAnsi="Times New Roman" w:eastAsia="宋体" w:cs="Times New Roman"/>
        </w:rPr>
        <w:fldChar w:fldCharType="separate"/>
      </w:r>
      <w:r>
        <w:rPr>
          <w:rFonts w:hint="default" w:ascii="Times New Roman" w:hAnsi="Times New Roman" w:eastAsia="宋体" w:cs="Times New Roman"/>
        </w:rPr>
        <w:t>33</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02F5CB7E">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（一）</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_Toc1001569169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对外劳务合作企业经营情况</w:t>
      </w:r>
      <w:r>
        <w:rPr>
          <w:rFonts w:hint="eastAsia" w:ascii="Times New Roman" w:hAnsi="Times New Roman" w:eastAsia="宋体" w:cs="Times New Roman"/>
          <w:i w:val="0"/>
          <w:iCs w:val="0"/>
          <w:kern w:val="0"/>
          <w:szCs w:val="32"/>
          <w:lang w:val="en-US" w:eastAsia="zh-CN" w:bidi="ar"/>
        </w:rPr>
        <w:t>（LWN表）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_Toc1001569169 </w:instrText>
      </w:r>
      <w:r>
        <w:rPr>
          <w:rFonts w:hint="default" w:ascii="Times New Roman" w:hAnsi="Times New Roman" w:eastAsia="宋体" w:cs="Times New Roman"/>
        </w:rPr>
        <w:fldChar w:fldCharType="separate"/>
      </w:r>
      <w:r>
        <w:rPr>
          <w:rFonts w:hint="default" w:ascii="Times New Roman" w:hAnsi="Times New Roman" w:eastAsia="宋体" w:cs="Times New Roman"/>
        </w:rPr>
        <w:t>33</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25057AA4">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（二）</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_Toc1174710064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对外劳务合作项目明细</w:t>
      </w:r>
      <w:r>
        <w:rPr>
          <w:rFonts w:hint="eastAsia" w:ascii="Times New Roman" w:hAnsi="Times New Roman" w:eastAsia="宋体" w:cs="Times New Roman"/>
          <w:i w:val="0"/>
          <w:iCs w:val="0"/>
          <w:kern w:val="0"/>
          <w:szCs w:val="32"/>
          <w:lang w:val="en-US" w:eastAsia="zh-CN" w:bidi="ar"/>
        </w:rPr>
        <w:t>（LW1表）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_Toc1174710064 </w:instrText>
      </w:r>
      <w:r>
        <w:rPr>
          <w:rFonts w:hint="default" w:ascii="Times New Roman" w:hAnsi="Times New Roman" w:eastAsia="宋体" w:cs="Times New Roman"/>
        </w:rPr>
        <w:fldChar w:fldCharType="separate"/>
      </w:r>
      <w:r>
        <w:rPr>
          <w:rFonts w:hint="default" w:ascii="Times New Roman" w:hAnsi="Times New Roman" w:eastAsia="宋体" w:cs="Times New Roman"/>
        </w:rPr>
        <w:t>34</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036F6F2F">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（三）</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_Toc486588264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对外劳务合作项目人员构成和变化情况</w:t>
      </w:r>
      <w:r>
        <w:rPr>
          <w:rFonts w:hint="eastAsia" w:ascii="Times New Roman" w:hAnsi="Times New Roman" w:eastAsia="宋体" w:cs="Times New Roman"/>
          <w:i w:val="0"/>
          <w:iCs w:val="0"/>
          <w:kern w:val="0"/>
          <w:szCs w:val="32"/>
          <w:lang w:val="en-US" w:eastAsia="zh-CN" w:bidi="ar"/>
        </w:rPr>
        <w:t>（LW2表）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_Toc486588264 </w:instrText>
      </w:r>
      <w:r>
        <w:rPr>
          <w:rFonts w:hint="default" w:ascii="Times New Roman" w:hAnsi="Times New Roman" w:eastAsia="宋体" w:cs="Times New Roman"/>
        </w:rPr>
        <w:fldChar w:fldCharType="separate"/>
      </w:r>
      <w:r>
        <w:rPr>
          <w:rFonts w:hint="default" w:ascii="Times New Roman" w:hAnsi="Times New Roman" w:eastAsia="宋体" w:cs="Times New Roman"/>
        </w:rPr>
        <w:t>35</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199912A2">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_Toc1960755348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lang w:eastAsia="zh-CN"/>
        </w:rPr>
        <w:t>四、</w:t>
      </w:r>
      <w:r>
        <w:rPr>
          <w:rFonts w:hint="default" w:ascii="Times New Roman" w:hAnsi="Times New Roman" w:eastAsia="宋体" w:cs="Times New Roman"/>
          <w:szCs w:val="32"/>
        </w:rPr>
        <w:t>主要指标解释</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_Toc1960755348 </w:instrText>
      </w:r>
      <w:r>
        <w:rPr>
          <w:rFonts w:hint="default" w:ascii="Times New Roman" w:hAnsi="Times New Roman" w:eastAsia="宋体" w:cs="Times New Roman"/>
        </w:rPr>
        <w:fldChar w:fldCharType="separate"/>
      </w:r>
      <w:r>
        <w:rPr>
          <w:rFonts w:hint="default" w:ascii="Times New Roman" w:hAnsi="Times New Roman" w:eastAsia="宋体" w:cs="Times New Roman"/>
        </w:rPr>
        <w:t>35</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00F2971C">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_Toc1915632101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五、附录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_Toc1915632101 </w:instrText>
      </w:r>
      <w:r>
        <w:rPr>
          <w:rFonts w:hint="default" w:ascii="Times New Roman" w:hAnsi="Times New Roman" w:eastAsia="宋体" w:cs="Times New Roman"/>
        </w:rPr>
        <w:fldChar w:fldCharType="separate"/>
      </w:r>
      <w:r>
        <w:rPr>
          <w:rFonts w:hint="default" w:ascii="Times New Roman" w:hAnsi="Times New Roman" w:eastAsia="宋体" w:cs="Times New Roman"/>
        </w:rPr>
        <w:t>37</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0E08C928">
      <w:pPr>
        <w:pStyle w:val="9"/>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_Toc602579420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szCs w:val="32"/>
          <w:lang w:eastAsia="zh-CN"/>
        </w:rPr>
        <w:t>（一）</w:t>
      </w:r>
      <w:r>
        <w:rPr>
          <w:rFonts w:hint="default" w:ascii="Times New Roman" w:hAnsi="Times New Roman" w:eastAsia="宋体" w:cs="Times New Roman"/>
          <w:bCs/>
          <w:kern w:val="0"/>
          <w:szCs w:val="32"/>
        </w:rPr>
        <w:t>关于统计上对公有和非公有控股经济的分类办法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_Toc602579420 </w:instrText>
      </w:r>
      <w:r>
        <w:rPr>
          <w:rFonts w:hint="default" w:ascii="Times New Roman" w:hAnsi="Times New Roman" w:eastAsia="宋体" w:cs="Times New Roman"/>
        </w:rPr>
        <w:fldChar w:fldCharType="separate"/>
      </w:r>
      <w:r>
        <w:rPr>
          <w:rFonts w:hint="default" w:ascii="Times New Roman" w:hAnsi="Times New Roman" w:eastAsia="宋体" w:cs="Times New Roman"/>
        </w:rPr>
        <w:t>37</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5EEF7407">
      <w:pPr>
        <w:pStyle w:val="9"/>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_Toc1588408167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szCs w:val="32"/>
          <w:lang w:eastAsia="zh-CN"/>
        </w:rPr>
        <w:t>（二）向国家统计局提供的统计资料清单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_Toc1588408167 </w:instrText>
      </w:r>
      <w:r>
        <w:rPr>
          <w:rFonts w:hint="default" w:ascii="Times New Roman" w:hAnsi="Times New Roman" w:eastAsia="宋体" w:cs="Times New Roman"/>
        </w:rPr>
        <w:fldChar w:fldCharType="separate"/>
      </w:r>
      <w:r>
        <w:rPr>
          <w:rFonts w:hint="default" w:ascii="Times New Roman" w:hAnsi="Times New Roman" w:eastAsia="宋体" w:cs="Times New Roman"/>
        </w:rPr>
        <w:t>38</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69651FEA">
      <w:pPr>
        <w:pStyle w:val="9"/>
        <w:tabs>
          <w:tab w:val="right" w:leader="dot" w:pos="9040"/>
        </w:tabs>
        <w:spacing w:line="400" w:lineRule="exact"/>
        <w:rPr>
          <w:rFonts w:ascii="Times New Roman" w:hAnsi="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_Toc1861775042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kern w:val="0"/>
          <w:szCs w:val="32"/>
        </w:rPr>
        <w:t>（</w:t>
      </w:r>
      <w:r>
        <w:rPr>
          <w:rFonts w:hint="default" w:ascii="Times New Roman" w:hAnsi="Times New Roman" w:eastAsia="宋体" w:cs="Times New Roman"/>
          <w:bCs/>
          <w:kern w:val="0"/>
          <w:szCs w:val="32"/>
          <w:lang w:eastAsia="zh-CN"/>
        </w:rPr>
        <w:t>三</w:t>
      </w:r>
      <w:r>
        <w:rPr>
          <w:rFonts w:hint="default" w:ascii="Times New Roman" w:hAnsi="Times New Roman" w:eastAsia="宋体" w:cs="Times New Roman"/>
          <w:bCs/>
          <w:kern w:val="0"/>
          <w:szCs w:val="32"/>
        </w:rPr>
        <w:t>）向统计信息共享数据库提供的统计资料清单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_Toc1861775042 </w:instrText>
      </w:r>
      <w:r>
        <w:rPr>
          <w:rFonts w:hint="default" w:ascii="Times New Roman" w:hAnsi="Times New Roman" w:eastAsia="宋体" w:cs="Times New Roman"/>
        </w:rPr>
        <w:fldChar w:fldCharType="separate"/>
      </w:r>
      <w:r>
        <w:rPr>
          <w:rFonts w:hint="default" w:ascii="Times New Roman" w:hAnsi="Times New Roman" w:eastAsia="宋体" w:cs="Times New Roman"/>
        </w:rPr>
        <w:t>38</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11814762">
      <w:pPr>
        <w:keepNext w:val="0"/>
        <w:keepLines w:val="0"/>
        <w:pageBreakBefore w:val="0"/>
        <w:widowControl/>
        <w:kinsoku/>
        <w:wordWrap/>
        <w:overflowPunct/>
        <w:topLinePunct w:val="0"/>
        <w:autoSpaceDE/>
        <w:autoSpaceDN/>
        <w:bidi w:val="0"/>
        <w:spacing w:beforeAutospacing="0" w:afterAutospacing="0" w:line="400" w:lineRule="exact"/>
        <w:jc w:val="center"/>
        <w:textAlignment w:val="auto"/>
        <w:outlineLvl w:val="9"/>
        <w:rPr>
          <w:rFonts w:hint="eastAsia" w:ascii="宋体" w:hAnsi="宋体" w:eastAsia="宋体" w:cs="宋体"/>
          <w:kern w:val="0"/>
          <w:sz w:val="21"/>
          <w:szCs w:val="21"/>
        </w:rPr>
      </w:pPr>
      <w:r>
        <w:rPr>
          <w:rFonts w:hint="default" w:ascii="Times New Roman" w:hAnsi="Times New Roman" w:eastAsia="宋体" w:cs="Times New Roman"/>
          <w:kern w:val="0"/>
          <w:sz w:val="21"/>
          <w:szCs w:val="21"/>
        </w:rPr>
        <w:fldChar w:fldCharType="end"/>
      </w:r>
    </w:p>
    <w:p w14:paraId="53916BE4"/>
    <w:p w14:paraId="1F2AE098"/>
    <w:p w14:paraId="34D1B394">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0"/>
        <w:rPr>
          <w:rFonts w:hint="eastAsia" w:ascii="黑体" w:eastAsia="黑体"/>
          <w:sz w:val="32"/>
          <w:szCs w:val="32"/>
        </w:rPr>
      </w:pPr>
      <w:bookmarkStart w:id="43" w:name="_Toc851102083"/>
      <w:bookmarkStart w:id="44" w:name="_Toc1200141"/>
      <w:bookmarkStart w:id="45" w:name="_Toc1761358198"/>
      <w:r>
        <w:rPr>
          <w:rFonts w:hint="eastAsia" w:ascii="黑体" w:hAnsi="宋体" w:eastAsia="黑体" w:cs="宋体"/>
          <w:b/>
          <w:kern w:val="0"/>
          <w:sz w:val="32"/>
          <w:szCs w:val="32"/>
        </w:rPr>
        <w:br w:type="page"/>
      </w:r>
      <w:bookmarkStart w:id="46" w:name="_Toc636732532"/>
      <w:bookmarkStart w:id="47" w:name="_Toc820276590"/>
      <w:bookmarkStart w:id="48" w:name="_Toc1826140032"/>
      <w:bookmarkStart w:id="49" w:name="_Toc73941470"/>
      <w:bookmarkStart w:id="50" w:name="_Toc1331284340"/>
      <w:r>
        <w:rPr>
          <w:rFonts w:hint="eastAsia" w:ascii="黑体" w:eastAsia="黑体"/>
          <w:sz w:val="32"/>
          <w:szCs w:val="32"/>
        </w:rPr>
        <w:t>一、总 说 明</w:t>
      </w:r>
      <w:bookmarkEnd w:id="43"/>
      <w:bookmarkEnd w:id="44"/>
      <w:bookmarkEnd w:id="45"/>
      <w:bookmarkEnd w:id="46"/>
      <w:bookmarkEnd w:id="47"/>
      <w:bookmarkEnd w:id="48"/>
      <w:bookmarkEnd w:id="49"/>
      <w:bookmarkEnd w:id="50"/>
    </w:p>
    <w:p w14:paraId="2DCE9D42">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1" w:name="_Toc935548068"/>
    </w:p>
    <w:p w14:paraId="739C247A">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ascii="宋体" w:hAnsi="宋体" w:cs="宋体"/>
          <w:b/>
        </w:rPr>
      </w:pPr>
      <w:r>
        <w:rPr>
          <w:rFonts w:hint="eastAsia" w:ascii="宋体" w:hAnsi="宋体" w:cs="宋体"/>
          <w:b/>
        </w:rPr>
        <w:t>（一）调查目的</w:t>
      </w:r>
      <w:bookmarkEnd w:id="51"/>
    </w:p>
    <w:p w14:paraId="52DF998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为科学、有效地组织全国对外劳务合作业务统计工作，充分发挥统计信息、咨询、监督作用，依照《中华人民共和国统计法》</w:t>
      </w:r>
      <w:r>
        <w:rPr>
          <w:rFonts w:hint="eastAsia" w:ascii="宋体" w:hAnsi="宋体" w:eastAsia="宋体" w:cs="宋体"/>
          <w:bCs/>
          <w:kern w:val="0"/>
          <w:szCs w:val="21"/>
          <w:highlight w:val="none"/>
        </w:rPr>
        <w:t>（以下简称《统计法》）、</w:t>
      </w:r>
      <w:r>
        <w:rPr>
          <w:rFonts w:hint="eastAsia" w:ascii="宋体" w:hAnsi="宋体" w:cs="宋体"/>
          <w:bCs/>
          <w:kern w:val="0"/>
          <w:szCs w:val="21"/>
        </w:rPr>
        <w:t>《中华人民共和国统计法实施条例》，特制定本制度。</w:t>
      </w:r>
      <w:r>
        <w:rPr>
          <w:rFonts w:hint="eastAsia" w:ascii="宋体" w:hAnsi="宋体" w:cs="宋体"/>
          <w:kern w:val="0"/>
          <w:szCs w:val="21"/>
        </w:rPr>
        <w:t>对外</w:t>
      </w:r>
      <w:r>
        <w:rPr>
          <w:rFonts w:hint="eastAsia" w:ascii="宋体" w:hAnsi="宋体" w:cs="宋体"/>
          <w:bCs/>
          <w:kern w:val="0"/>
          <w:szCs w:val="21"/>
        </w:rPr>
        <w:t>劳务合作业务统计的基本任务是通过统计调查、统计分析和提供统计资料，真实、准确、完整、及时地反映对外劳务合作业务实际情况，为有关部门制定方针、政策提供可靠的数据支持，是我国对外投资合作统计体系的重要组成部分。</w:t>
      </w:r>
    </w:p>
    <w:p w14:paraId="69944EDA">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2" w:name="_Toc614207475"/>
      <w:r>
        <w:rPr>
          <w:rFonts w:hint="eastAsia" w:ascii="宋体" w:hAnsi="宋体" w:cs="宋体"/>
          <w:b/>
        </w:rPr>
        <w:t>（二）调查对象</w:t>
      </w:r>
      <w:bookmarkEnd w:id="52"/>
    </w:p>
    <w:p w14:paraId="3CCA7E7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lang w:val="en"/>
        </w:rPr>
      </w:pPr>
      <w:r>
        <w:rPr>
          <w:rFonts w:ascii="宋体" w:hAnsi="宋体" w:cs="宋体"/>
          <w:bCs/>
          <w:kern w:val="0"/>
          <w:szCs w:val="21"/>
          <w:lang w:val="en"/>
        </w:rPr>
        <w:t>所有</w:t>
      </w:r>
      <w:r>
        <w:rPr>
          <w:rFonts w:hint="eastAsia" w:ascii="宋体" w:cs="宋体"/>
          <w:bCs/>
          <w:kern w:val="0"/>
          <w:szCs w:val="21"/>
          <w:lang w:val="en" w:eastAsia="zh-CN"/>
        </w:rPr>
        <w:t>开展</w:t>
      </w:r>
      <w:r>
        <w:rPr>
          <w:rFonts w:hint="eastAsia" w:ascii="宋体" w:hAnsi="宋体" w:cs="宋体"/>
          <w:bCs/>
          <w:kern w:val="0"/>
          <w:szCs w:val="21"/>
        </w:rPr>
        <w:t>对外劳务合作</w:t>
      </w:r>
      <w:r>
        <w:rPr>
          <w:rFonts w:ascii="宋体" w:hAnsi="宋体" w:cs="宋体"/>
          <w:bCs/>
          <w:kern w:val="0"/>
          <w:szCs w:val="21"/>
          <w:lang w:val="en"/>
        </w:rPr>
        <w:t>业务的中国企业和单位。</w:t>
      </w:r>
    </w:p>
    <w:p w14:paraId="05489997">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3" w:name="_Toc296961324"/>
      <w:r>
        <w:rPr>
          <w:rFonts w:hint="eastAsia" w:ascii="宋体" w:hAnsi="宋体" w:cs="宋体"/>
          <w:b/>
        </w:rPr>
        <w:t>（</w:t>
      </w:r>
      <w:r>
        <w:rPr>
          <w:rFonts w:hint="eastAsia" w:ascii="宋体" w:hAnsi="宋体" w:cs="宋体"/>
          <w:b/>
          <w:lang w:val="en"/>
        </w:rPr>
        <w:t>三</w:t>
      </w:r>
      <w:r>
        <w:rPr>
          <w:rFonts w:hint="eastAsia" w:ascii="宋体" w:hAnsi="宋体" w:cs="宋体"/>
          <w:b/>
        </w:rPr>
        <w:t>）统计范围</w:t>
      </w:r>
      <w:bookmarkEnd w:id="53"/>
    </w:p>
    <w:p w14:paraId="07E764B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1</w:t>
      </w:r>
      <w:r>
        <w:rPr>
          <w:rFonts w:hint="eastAsia" w:ascii="宋体" w:cs="宋体"/>
          <w:bCs/>
          <w:kern w:val="0"/>
          <w:szCs w:val="21"/>
          <w:lang w:val="en-US" w:eastAsia="zh-CN"/>
        </w:rPr>
        <w:t xml:space="preserve">. </w:t>
      </w:r>
      <w:r>
        <w:rPr>
          <w:rFonts w:hint="eastAsia" w:ascii="宋体" w:hAnsi="宋体" w:cs="宋体"/>
          <w:bCs/>
          <w:kern w:val="0"/>
          <w:szCs w:val="21"/>
        </w:rPr>
        <w:t>对外劳务合作指组织劳务人员赴其他国家或地区为国外的企业或机构工作的经营性活动；</w:t>
      </w:r>
    </w:p>
    <w:p w14:paraId="12A255F6">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rPr>
        <w:t>本制度适用于我国境内各</w:t>
      </w:r>
      <w:r>
        <w:rPr>
          <w:rFonts w:hint="eastAsia" w:ascii="宋体" w:cs="宋体"/>
          <w:bCs/>
          <w:kern w:val="0"/>
          <w:szCs w:val="21"/>
          <w:lang w:eastAsia="zh-CN"/>
        </w:rPr>
        <w:t>省</w:t>
      </w:r>
      <w:r>
        <w:rPr>
          <w:rFonts w:hint="eastAsia" w:ascii="宋体" w:hAnsi="宋体" w:cs="宋体"/>
          <w:bCs/>
          <w:kern w:val="0"/>
          <w:szCs w:val="21"/>
        </w:rPr>
        <w:t>级商务主管部门和获得对外劳务合作经营资格的企业以及海员外派机构（以下简称企业）；</w:t>
      </w:r>
    </w:p>
    <w:p w14:paraId="685BD01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3</w:t>
      </w:r>
      <w:r>
        <w:rPr>
          <w:rFonts w:hint="eastAsia" w:ascii="宋体" w:cs="宋体"/>
          <w:bCs/>
          <w:kern w:val="0"/>
          <w:szCs w:val="21"/>
          <w:lang w:val="en-US" w:eastAsia="zh-CN"/>
        </w:rPr>
        <w:t xml:space="preserve">. </w:t>
      </w:r>
      <w:r>
        <w:rPr>
          <w:rFonts w:hint="eastAsia" w:ascii="宋体" w:hAnsi="宋体" w:cs="宋体"/>
          <w:bCs/>
          <w:kern w:val="0"/>
          <w:szCs w:val="21"/>
        </w:rPr>
        <w:t>企业与境外中资企业（包括中国企业为承揽境外承包工程项目而设立的境外企业）签订劳务合作合同，按照合同约定派人员赴境外工作的活动纳入对外劳务合作统计；</w:t>
      </w:r>
    </w:p>
    <w:p w14:paraId="4A64ACC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4</w:t>
      </w:r>
      <w:r>
        <w:rPr>
          <w:rFonts w:hint="eastAsia" w:ascii="宋体" w:cs="宋体"/>
          <w:bCs/>
          <w:kern w:val="0"/>
          <w:szCs w:val="21"/>
          <w:lang w:val="en-US" w:eastAsia="zh-CN"/>
        </w:rPr>
        <w:t xml:space="preserve">. </w:t>
      </w:r>
      <w:r>
        <w:rPr>
          <w:rFonts w:hint="eastAsia" w:ascii="宋体" w:hAnsi="宋体" w:cs="宋体"/>
          <w:bCs/>
          <w:kern w:val="0"/>
          <w:szCs w:val="21"/>
        </w:rPr>
        <w:t>中国公民个人到境外工作不属对外劳务合作业务统计范畴。</w:t>
      </w:r>
    </w:p>
    <w:p w14:paraId="011FD2A5">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4" w:name="_Toc600824987"/>
      <w:r>
        <w:rPr>
          <w:rFonts w:hint="eastAsia" w:ascii="宋体" w:hAnsi="宋体" w:cs="宋体"/>
          <w:b/>
        </w:rPr>
        <w:t>（</w:t>
      </w:r>
      <w:r>
        <w:rPr>
          <w:rFonts w:hint="eastAsia" w:ascii="宋体" w:hAnsi="宋体" w:cs="宋体"/>
          <w:b/>
          <w:lang w:val="en"/>
        </w:rPr>
        <w:t>四</w:t>
      </w:r>
      <w:r>
        <w:rPr>
          <w:rFonts w:hint="eastAsia" w:ascii="宋体" w:hAnsi="宋体" w:cs="宋体"/>
          <w:b/>
        </w:rPr>
        <w:t>）调查内容</w:t>
      </w:r>
      <w:bookmarkEnd w:id="54"/>
    </w:p>
    <w:p w14:paraId="689906AC">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rPr>
      </w:pPr>
      <w:r>
        <w:rPr>
          <w:rFonts w:hint="eastAsia" w:ascii="宋体" w:hAnsi="宋体" w:cs="宋体"/>
        </w:rPr>
        <w:t>对外劳务合作业务统计报表包括对外劳务合作</w:t>
      </w:r>
      <w:r>
        <w:rPr>
          <w:rFonts w:hint="eastAsia" w:ascii="宋体" w:hAnsi="宋体" w:cs="宋体"/>
          <w:lang w:eastAsia="zh-CN"/>
        </w:rPr>
        <w:t>企业经营情况</w:t>
      </w:r>
      <w:r>
        <w:rPr>
          <w:rFonts w:hint="eastAsia" w:ascii="宋体" w:hAnsi="宋体" w:cs="宋体"/>
        </w:rPr>
        <w:t>（LW</w:t>
      </w:r>
      <w:r>
        <w:rPr>
          <w:rFonts w:hint="eastAsia" w:ascii="宋体" w:hAnsi="宋体" w:cs="宋体"/>
          <w:lang w:val="en-US" w:eastAsia="zh-CN"/>
        </w:rPr>
        <w:t>N表</w:t>
      </w:r>
      <w:r>
        <w:rPr>
          <w:rFonts w:hint="eastAsia" w:ascii="宋体" w:hAnsi="宋体" w:cs="宋体"/>
        </w:rPr>
        <w:t>）、对外劳务合作项目</w:t>
      </w:r>
      <w:r>
        <w:rPr>
          <w:rFonts w:hint="eastAsia" w:ascii="宋体" w:hAnsi="宋体" w:cs="宋体"/>
          <w:lang w:eastAsia="zh-CN"/>
        </w:rPr>
        <w:t>明细</w:t>
      </w:r>
      <w:r>
        <w:rPr>
          <w:rFonts w:hint="eastAsia" w:ascii="宋体" w:hAnsi="宋体" w:cs="宋体"/>
        </w:rPr>
        <w:t>（LW</w:t>
      </w:r>
      <w:r>
        <w:rPr>
          <w:rFonts w:hint="eastAsia" w:ascii="宋体" w:hAnsi="宋体" w:cs="宋体"/>
          <w:lang w:val="en-US" w:eastAsia="zh-CN"/>
        </w:rPr>
        <w:t>1</w:t>
      </w:r>
      <w:r>
        <w:rPr>
          <w:rFonts w:hint="eastAsia" w:ascii="宋体" w:hAnsi="宋体" w:cs="宋体"/>
          <w:lang w:eastAsia="zh-CN"/>
        </w:rPr>
        <w:t>表</w:t>
      </w:r>
      <w:r>
        <w:rPr>
          <w:rFonts w:hint="eastAsia" w:ascii="宋体" w:hAnsi="宋体" w:cs="宋体"/>
        </w:rPr>
        <w:t>）和对外劳务合作</w:t>
      </w:r>
      <w:r>
        <w:rPr>
          <w:rFonts w:hint="eastAsia" w:ascii="宋体" w:hAnsi="宋体" w:cs="宋体"/>
          <w:lang w:eastAsia="zh-CN"/>
        </w:rPr>
        <w:t>项目</w:t>
      </w:r>
      <w:r>
        <w:rPr>
          <w:rFonts w:hint="eastAsia" w:ascii="宋体" w:hAnsi="宋体" w:cs="宋体"/>
        </w:rPr>
        <w:t>人员构成</w:t>
      </w:r>
      <w:r>
        <w:rPr>
          <w:rFonts w:hint="eastAsia" w:ascii="宋体" w:hAnsi="宋体" w:cs="宋体"/>
          <w:lang w:eastAsia="zh-CN"/>
        </w:rPr>
        <w:t>和变化情况</w:t>
      </w:r>
      <w:r>
        <w:rPr>
          <w:rFonts w:hint="eastAsia" w:ascii="宋体" w:hAnsi="宋体" w:cs="宋体"/>
        </w:rPr>
        <w:t>（LW2</w:t>
      </w:r>
      <w:r>
        <w:rPr>
          <w:rFonts w:hint="eastAsia" w:ascii="宋体" w:hAnsi="宋体" w:cs="宋体"/>
          <w:lang w:eastAsia="zh-CN"/>
        </w:rPr>
        <w:t>表</w:t>
      </w:r>
      <w:r>
        <w:rPr>
          <w:rFonts w:hint="eastAsia" w:ascii="宋体" w:hAnsi="宋体" w:cs="宋体"/>
        </w:rPr>
        <w:t>）。其中主要指标内容包括：</w:t>
      </w:r>
      <w:r>
        <w:rPr>
          <w:rFonts w:hint="eastAsia" w:ascii="宋体" w:hAnsi="宋体" w:cs="宋体"/>
          <w:bCs/>
          <w:kern w:val="0"/>
          <w:szCs w:val="21"/>
        </w:rPr>
        <w:t>派出人数、月末在外人数、新签劳务人员合同工资总额、劳务人员实际收入总额等。</w:t>
      </w:r>
    </w:p>
    <w:p w14:paraId="43297041">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rPr>
      </w:pPr>
      <w:bookmarkStart w:id="55" w:name="_Toc2092004531"/>
      <w:r>
        <w:rPr>
          <w:rFonts w:hint="eastAsia" w:ascii="宋体" w:hAnsi="宋体" w:cs="宋体"/>
          <w:b/>
        </w:rPr>
        <w:t>（</w:t>
      </w:r>
      <w:r>
        <w:rPr>
          <w:rFonts w:ascii="宋体" w:hAnsi="宋体" w:cs="宋体"/>
          <w:b/>
          <w:lang w:val="en"/>
        </w:rPr>
        <w:t>五</w:t>
      </w:r>
      <w:r>
        <w:rPr>
          <w:rFonts w:hint="eastAsia" w:ascii="宋体" w:hAnsi="宋体" w:cs="宋体"/>
          <w:b/>
        </w:rPr>
        <w:t>）调查频率和时间</w:t>
      </w:r>
      <w:bookmarkEnd w:id="55"/>
    </w:p>
    <w:p w14:paraId="79B695ED">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szCs w:val="21"/>
        </w:rPr>
      </w:pPr>
      <w:bookmarkStart w:id="56" w:name="_Toc582102669"/>
      <w:r>
        <w:rPr>
          <w:rFonts w:hint="eastAsia" w:ascii="宋体" w:hAnsi="宋体"/>
          <w:bCs/>
          <w:szCs w:val="21"/>
        </w:rPr>
        <w:t>本制度采用定期填报统计报表方式，收集、整理统计资料。调查表分为年度报表和月度报表</w:t>
      </w:r>
      <w:r>
        <w:rPr>
          <w:rFonts w:hint="eastAsia"/>
          <w:szCs w:val="21"/>
        </w:rPr>
        <w:t>。月度报表调查</w:t>
      </w:r>
      <w:r>
        <w:rPr>
          <w:rFonts w:hint="eastAsia" w:ascii="宋体" w:hAnsi="宋体" w:cs="宋体"/>
          <w:szCs w:val="21"/>
        </w:rPr>
        <w:t>时间为</w:t>
      </w:r>
      <w:r>
        <w:rPr>
          <w:rFonts w:hint="eastAsia" w:ascii="宋体" w:hAnsi="宋体" w:cs="宋体"/>
          <w:szCs w:val="21"/>
          <w:lang w:eastAsia="zh-CN"/>
        </w:rPr>
        <w:t>每月</w:t>
      </w:r>
      <w:r>
        <w:rPr>
          <w:rFonts w:hint="eastAsia" w:ascii="宋体" w:hAnsi="宋体" w:cs="宋体"/>
          <w:szCs w:val="21"/>
        </w:rPr>
        <w:t>1日至当月最后一日，年度报表调查时间</w:t>
      </w:r>
      <w:r>
        <w:rPr>
          <w:rFonts w:hint="eastAsia" w:ascii="宋体" w:hAnsi="宋体" w:cs="宋体"/>
          <w:szCs w:val="21"/>
          <w:lang w:eastAsia="zh-CN"/>
        </w:rPr>
        <w:t>为每年</w:t>
      </w:r>
      <w:r>
        <w:rPr>
          <w:rFonts w:hint="eastAsia" w:ascii="宋体" w:hAnsi="宋体" w:cs="宋体"/>
          <w:szCs w:val="21"/>
        </w:rPr>
        <w:t>1月1日至</w:t>
      </w:r>
      <w:r>
        <w:rPr>
          <w:rFonts w:hint="eastAsia" w:ascii="宋体" w:hAnsi="宋体" w:cs="宋体"/>
          <w:szCs w:val="21"/>
          <w:lang w:eastAsia="zh-CN"/>
        </w:rPr>
        <w:t>当年</w:t>
      </w:r>
      <w:r>
        <w:rPr>
          <w:rFonts w:hint="eastAsia" w:ascii="宋体" w:hAnsi="宋体" w:cs="宋体"/>
          <w:szCs w:val="21"/>
        </w:rPr>
        <w:t>12月31</w:t>
      </w:r>
      <w:r>
        <w:rPr>
          <w:rFonts w:hint="eastAsia"/>
          <w:szCs w:val="21"/>
        </w:rPr>
        <w:t>日。</w:t>
      </w:r>
    </w:p>
    <w:p w14:paraId="5E77D064">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rPr>
      </w:pPr>
      <w:r>
        <w:rPr>
          <w:rFonts w:hint="eastAsia" w:ascii="宋体" w:hAnsi="宋体" w:cs="宋体"/>
          <w:b/>
        </w:rPr>
        <w:t>（</w:t>
      </w:r>
      <w:r>
        <w:rPr>
          <w:rFonts w:ascii="宋体" w:hAnsi="宋体" w:cs="宋体"/>
          <w:b/>
          <w:lang w:val="en"/>
        </w:rPr>
        <w:t>六</w:t>
      </w:r>
      <w:r>
        <w:rPr>
          <w:rFonts w:hint="eastAsia" w:ascii="宋体" w:hAnsi="宋体" w:cs="宋体"/>
          <w:b/>
        </w:rPr>
        <w:t>）调查方法</w:t>
      </w:r>
      <w:bookmarkEnd w:id="56"/>
    </w:p>
    <w:p w14:paraId="755211EC">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rPr>
      </w:pPr>
      <w:r>
        <w:rPr>
          <w:rFonts w:hint="eastAsia" w:ascii="宋体" w:hAnsi="宋体" w:cs="宋体"/>
        </w:rPr>
        <w:t>本制度采用全面调查的方法。</w:t>
      </w:r>
    </w:p>
    <w:p w14:paraId="45C8FAA9">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lang w:val="en"/>
        </w:rPr>
      </w:pPr>
      <w:bookmarkStart w:id="57" w:name="_Toc32415400"/>
      <w:r>
        <w:rPr>
          <w:rFonts w:hint="eastAsia" w:ascii="宋体" w:hAnsi="宋体" w:cs="宋体"/>
          <w:b/>
        </w:rPr>
        <w:t>（</w:t>
      </w:r>
      <w:r>
        <w:rPr>
          <w:rFonts w:ascii="宋体" w:hAnsi="宋体" w:cs="宋体"/>
          <w:b/>
          <w:lang w:val="en"/>
        </w:rPr>
        <w:t>七</w:t>
      </w:r>
      <w:r>
        <w:rPr>
          <w:rFonts w:hint="eastAsia" w:ascii="宋体" w:hAnsi="宋体" w:cs="宋体"/>
          <w:b/>
        </w:rPr>
        <w:t>）组织</w:t>
      </w:r>
      <w:r>
        <w:rPr>
          <w:rFonts w:ascii="宋体" w:hAnsi="宋体" w:cs="宋体"/>
          <w:b/>
          <w:lang w:val="en"/>
        </w:rPr>
        <w:t>实施</w:t>
      </w:r>
      <w:bookmarkEnd w:id="57"/>
    </w:p>
    <w:p w14:paraId="4B49B86A">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1</w:t>
      </w:r>
      <w:r>
        <w:rPr>
          <w:rFonts w:hint="eastAsia" w:ascii="宋体" w:cs="宋体"/>
          <w:bCs/>
          <w:kern w:val="0"/>
          <w:szCs w:val="21"/>
          <w:lang w:val="en-US" w:eastAsia="zh-CN"/>
        </w:rPr>
        <w:t xml:space="preserve">. </w:t>
      </w:r>
      <w:r>
        <w:rPr>
          <w:rFonts w:hint="eastAsia" w:ascii="宋体" w:hAnsi="宋体" w:cs="宋体"/>
        </w:rPr>
        <w:t xml:space="preserve">组织方式：对外劳务合作业务统计实行统一领导，分级管理。 </w:t>
      </w:r>
    </w:p>
    <w:p w14:paraId="2ADAAE8A">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 xml:space="preserve">（1）商务部负责全国对外劳务合作业务统计工作，管理各省、自治区、直辖市、计划单列市商务主管部门的对外劳务合作业务统计工作，综合编制、汇总全国对外劳务合作业务统计资料。 </w:t>
      </w:r>
    </w:p>
    <w:p w14:paraId="1756274C">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（2）</w:t>
      </w:r>
      <w:r>
        <w:rPr>
          <w:rFonts w:hint="eastAsia" w:ascii="宋体" w:cs="宋体"/>
          <w:lang w:eastAsia="zh-CN"/>
        </w:rPr>
        <w:t>省级</w:t>
      </w:r>
      <w:r>
        <w:rPr>
          <w:rFonts w:hint="eastAsia" w:ascii="宋体" w:hAnsi="宋体" w:cs="宋体"/>
        </w:rPr>
        <w:t>商务主管部门负责本行政区域内对外劳务合作业务统计工作，管理本行政区域内企业（包括在该行政区域内中央管理的企业，下同）的统计工作。</w:t>
      </w:r>
    </w:p>
    <w:p w14:paraId="56A1269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rPr>
        <w:t>（3）企业负责本单位的对外劳务合作业务统计工作，编制统计资料并上报地方商务主管部门。</w:t>
      </w:r>
    </w:p>
    <w:p w14:paraId="788A0D83">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left="0" w:leftChars="0" w:firstLine="428" w:firstLineChars="204"/>
        <w:textAlignment w:val="bottom"/>
        <w:rPr>
          <w:rFonts w:ascii="宋体" w:hAnsi="宋体" w:cs="宋体"/>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rPr>
        <w:t>报送渠道：企业按属地化原则报</w:t>
      </w:r>
      <w:r>
        <w:rPr>
          <w:rFonts w:hint="eastAsia" w:ascii="宋体" w:cs="宋体"/>
          <w:bCs/>
          <w:kern w:val="0"/>
          <w:szCs w:val="21"/>
          <w:lang w:eastAsia="zh-CN"/>
        </w:rPr>
        <w:t>省级</w:t>
      </w:r>
      <w:r>
        <w:rPr>
          <w:rFonts w:hint="eastAsia" w:ascii="宋体" w:hAnsi="宋体" w:cs="宋体"/>
          <w:bCs/>
          <w:kern w:val="0"/>
          <w:szCs w:val="21"/>
        </w:rPr>
        <w:t>商务主管部门；</w:t>
      </w:r>
      <w:r>
        <w:rPr>
          <w:rFonts w:hint="eastAsia" w:ascii="宋体" w:cs="宋体"/>
          <w:bCs/>
          <w:kern w:val="0"/>
          <w:szCs w:val="21"/>
          <w:lang w:eastAsia="zh-CN"/>
        </w:rPr>
        <w:t>省级</w:t>
      </w:r>
      <w:r>
        <w:rPr>
          <w:rFonts w:hint="eastAsia" w:ascii="宋体" w:hAnsi="宋体" w:cs="宋体"/>
          <w:bCs/>
          <w:kern w:val="0"/>
          <w:szCs w:val="21"/>
        </w:rPr>
        <w:t>商务主管部门审核、汇总本行政区域内企业的报表并报商务部，同时抄报同级统计部门；商务部汇总全国数据后报国家统计局。</w:t>
      </w:r>
    </w:p>
    <w:p w14:paraId="1E88E948">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lang w:val="en"/>
        </w:rPr>
      </w:pPr>
      <w:bookmarkStart w:id="58" w:name="_Toc416969114"/>
      <w:r>
        <w:rPr>
          <w:rFonts w:hint="eastAsia" w:ascii="宋体" w:hAnsi="宋体" w:cs="宋体"/>
          <w:b/>
        </w:rPr>
        <w:t>（</w:t>
      </w:r>
      <w:r>
        <w:rPr>
          <w:rFonts w:hint="eastAsia" w:ascii="宋体" w:hAnsi="宋体" w:cs="宋体"/>
          <w:b/>
          <w:lang w:val="en"/>
        </w:rPr>
        <w:t>八</w:t>
      </w:r>
      <w:r>
        <w:rPr>
          <w:rFonts w:hint="eastAsia" w:ascii="宋体" w:hAnsi="宋体" w:cs="宋体"/>
          <w:b/>
        </w:rPr>
        <w:t>）</w:t>
      </w:r>
      <w:r>
        <w:rPr>
          <w:rFonts w:hint="eastAsia" w:ascii="宋体" w:hAnsi="宋体" w:cs="宋体"/>
          <w:b/>
          <w:lang w:val="en"/>
        </w:rPr>
        <w:t>报送要求</w:t>
      </w:r>
    </w:p>
    <w:p w14:paraId="313BCC46">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jc w:val="both"/>
        <w:textAlignment w:val="bottom"/>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 w:eastAsia="zh-CN" w:bidi="ar-SA"/>
        </w:rPr>
        <w:t>1</w:t>
      </w:r>
      <w:r>
        <w:rPr>
          <w:rFonts w:hint="eastAsia" w:ascii="宋体" w:cs="宋体"/>
          <w:bCs/>
          <w:kern w:val="0"/>
          <w:szCs w:val="21"/>
          <w:lang w:val="en-US" w:eastAsia="zh-CN"/>
        </w:rPr>
        <w:t xml:space="preserve">. </w:t>
      </w:r>
      <w:r>
        <w:rPr>
          <w:rFonts w:hint="eastAsia" w:ascii="宋体" w:hAnsi="宋体" w:eastAsia="宋体" w:cs="宋体"/>
          <w:bCs/>
          <w:kern w:val="2"/>
          <w:sz w:val="21"/>
          <w:szCs w:val="21"/>
          <w:lang w:val="en" w:eastAsia="zh-CN" w:bidi="ar-SA"/>
        </w:rPr>
        <w:t>月后10日内，由调查范围内企业通过登录商务部业务系统统一平台</w:t>
      </w:r>
      <w:r>
        <w:rPr>
          <w:rFonts w:hint="eastAsia" w:ascii="宋体" w:hAnsi="宋体" w:eastAsia="宋体" w:cs="宋体"/>
          <w:bCs/>
          <w:kern w:val="2"/>
          <w:sz w:val="21"/>
          <w:szCs w:val="21"/>
          <w:lang w:val="en-US" w:eastAsia="zh-CN" w:bidi="ar-SA"/>
        </w:rPr>
        <w:t>（http://ecomp.mofcom.gov.cn）--对外投资合作信息服务，填报前一个月的数据。每年5月31日前，填报上年度LWN表数据。逢国家法定节假日，统计报表的报送时间顺延。</w:t>
      </w:r>
    </w:p>
    <w:p w14:paraId="2965A386">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ascii="宋体" w:hAnsi="宋体" w:cs="宋体"/>
          <w:bCs/>
          <w:szCs w:val="21"/>
          <w:lang w:val="en"/>
        </w:rPr>
        <w:t>2</w:t>
      </w:r>
      <w:r>
        <w:rPr>
          <w:rFonts w:hint="eastAsia" w:ascii="宋体" w:cs="宋体"/>
          <w:bCs/>
          <w:kern w:val="0"/>
          <w:szCs w:val="21"/>
          <w:lang w:val="en-US" w:eastAsia="zh-CN"/>
        </w:rPr>
        <w:t xml:space="preserve">. </w:t>
      </w:r>
      <w:r>
        <w:rPr>
          <w:rFonts w:hint="eastAsia" w:ascii="宋体" w:hAnsi="宋体" w:cs="宋体"/>
          <w:bCs/>
          <w:szCs w:val="21"/>
        </w:rPr>
        <w:t>本制度使用的国别（地区）统计代码，</w:t>
      </w:r>
      <w:r>
        <w:rPr>
          <w:rFonts w:hint="eastAsia" w:ascii="宋体" w:hAnsi="宋体" w:cs="宋体"/>
          <w:bCs/>
          <w:color w:val="000000"/>
          <w:szCs w:val="21"/>
          <w:highlight w:val="none"/>
        </w:rPr>
        <w:t>按</w:t>
      </w:r>
      <w:r>
        <w:rPr>
          <w:rFonts w:hint="eastAsia" w:ascii="宋体" w:hAnsi="宋体" w:cs="宋体"/>
          <w:bCs/>
          <w:color w:val="000000"/>
          <w:szCs w:val="21"/>
          <w:highlight w:val="none"/>
          <w:lang w:eastAsia="zh-CN"/>
        </w:rPr>
        <w:t>海关总署</w:t>
      </w:r>
      <w:r>
        <w:rPr>
          <w:rFonts w:hint="eastAsia" w:ascii="宋体" w:hAnsi="宋体" w:cs="宋体"/>
          <w:bCs/>
          <w:color w:val="000000"/>
          <w:szCs w:val="21"/>
          <w:highlight w:val="none"/>
        </w:rPr>
        <w:t>制定的《国别（地区）统计代码》执行</w:t>
      </w:r>
      <w:r>
        <w:rPr>
          <w:rFonts w:hint="eastAsia" w:ascii="宋体" w:hAnsi="宋体" w:cs="宋体"/>
          <w:bCs/>
          <w:szCs w:val="21"/>
        </w:rPr>
        <w:t>。</w:t>
      </w:r>
    </w:p>
    <w:p w14:paraId="28517C37">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rPr>
      </w:pPr>
      <w:bookmarkStart w:id="59" w:name="_Toc253363748"/>
      <w:r>
        <w:rPr>
          <w:rFonts w:hint="eastAsia" w:ascii="宋体" w:hAnsi="宋体" w:cs="宋体"/>
          <w:b/>
        </w:rPr>
        <w:t>（</w:t>
      </w:r>
      <w:r>
        <w:rPr>
          <w:rFonts w:hint="eastAsia" w:ascii="宋体" w:hAnsi="宋体" w:cs="宋体"/>
          <w:b/>
          <w:lang w:val="en"/>
        </w:rPr>
        <w:t>九</w:t>
      </w:r>
      <w:r>
        <w:rPr>
          <w:rFonts w:hint="eastAsia" w:ascii="宋体" w:hAnsi="宋体" w:cs="宋体"/>
          <w:b/>
        </w:rPr>
        <w:t>）</w:t>
      </w:r>
      <w:bookmarkEnd w:id="59"/>
      <w:r>
        <w:rPr>
          <w:rFonts w:hint="eastAsia" w:ascii="宋体" w:hAnsi="宋体" w:cs="宋体"/>
          <w:b/>
        </w:rPr>
        <w:t>质量控制</w:t>
      </w:r>
      <w:bookmarkEnd w:id="58"/>
    </w:p>
    <w:p w14:paraId="5A402227">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rPr>
      </w:pPr>
      <w:r>
        <w:rPr>
          <w:rFonts w:ascii="宋体" w:hAnsi="宋体" w:cs="宋体"/>
          <w:bCs/>
          <w:kern w:val="0"/>
          <w:szCs w:val="21"/>
          <w:lang w:val="en"/>
        </w:rPr>
        <w:t>1</w:t>
      </w:r>
      <w:r>
        <w:rPr>
          <w:rFonts w:hint="eastAsia" w:ascii="宋体" w:cs="宋体"/>
          <w:bCs/>
          <w:kern w:val="0"/>
          <w:szCs w:val="21"/>
          <w:lang w:val="en-US" w:eastAsia="zh-CN"/>
        </w:rPr>
        <w:t xml:space="preserve">. </w:t>
      </w:r>
      <w:r>
        <w:rPr>
          <w:rFonts w:hint="eastAsia" w:ascii="宋体" w:hAnsi="宋体" w:cs="宋体"/>
          <w:bCs/>
          <w:kern w:val="0"/>
          <w:szCs w:val="21"/>
        </w:rPr>
        <w:t>企业要认真履行对外劳务合作统计报表填报义务，明确统计责任，不得虚报、瞒报、漏报、重报统计数据。</w:t>
      </w:r>
      <w:r>
        <w:rPr>
          <w:rFonts w:hint="eastAsia" w:ascii="宋体" w:hAnsi="宋体" w:cs="宋体"/>
          <w:bCs/>
          <w:szCs w:val="21"/>
        </w:rPr>
        <w:t>企业是否按照统计制度要求报送对外劳务合作业务统计资料，已列入商务部市场监管执法事项“双随机、一公开”抽查内容。</w:t>
      </w:r>
    </w:p>
    <w:p w14:paraId="2F5736A8">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rPr>
      </w:pPr>
      <w:r>
        <w:rPr>
          <w:rFonts w:ascii="宋体" w:hAnsi="宋体" w:cs="宋体"/>
          <w:lang w:val="en"/>
        </w:rPr>
        <w:t>2</w:t>
      </w:r>
      <w:r>
        <w:rPr>
          <w:rFonts w:hint="eastAsia" w:ascii="宋体" w:cs="宋体"/>
          <w:bCs/>
          <w:kern w:val="0"/>
          <w:szCs w:val="21"/>
          <w:lang w:val="en-US" w:eastAsia="zh-CN"/>
        </w:rPr>
        <w:t xml:space="preserve">. </w:t>
      </w:r>
      <w:r>
        <w:rPr>
          <w:rFonts w:hint="eastAsia" w:ascii="宋体" w:hAnsi="宋体" w:cs="宋体"/>
        </w:rPr>
        <w:t>派出人数、月末在外人数属本制度关键统计指标，企业应按月进行重点核实，及时对人员增减变化情况进行调整，保证数据准确无误。</w:t>
      </w:r>
    </w:p>
    <w:p w14:paraId="4E3F7542">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szCs w:val="21"/>
        </w:rPr>
      </w:pPr>
      <w:r>
        <w:rPr>
          <w:rFonts w:ascii="宋体" w:hAnsi="宋体" w:cs="宋体"/>
          <w:lang w:val="en"/>
        </w:rPr>
        <w:t>3</w:t>
      </w:r>
      <w:r>
        <w:rPr>
          <w:rFonts w:hint="eastAsia" w:ascii="宋体" w:cs="宋体"/>
          <w:bCs/>
          <w:kern w:val="0"/>
          <w:szCs w:val="21"/>
          <w:lang w:val="en-US" w:eastAsia="zh-CN"/>
        </w:rPr>
        <w:t xml:space="preserve">. </w:t>
      </w:r>
      <w:r>
        <w:rPr>
          <w:rFonts w:hint="eastAsia" w:ascii="宋体" w:hAnsi="宋体" w:cs="宋体"/>
          <w:bCs/>
          <w:szCs w:val="21"/>
        </w:rPr>
        <w:t>各省级商务主管部门</w:t>
      </w:r>
      <w:r>
        <w:rPr>
          <w:rFonts w:hint="eastAsia" w:ascii="宋体" w:hAnsi="宋体" w:cs="宋体"/>
          <w:bCs/>
          <w:szCs w:val="21"/>
          <w:lang w:eastAsia="zh-CN"/>
        </w:rPr>
        <w:t>应</w:t>
      </w:r>
      <w:r>
        <w:rPr>
          <w:rFonts w:hint="eastAsia" w:ascii="宋体" w:hAnsi="宋体" w:cs="宋体"/>
          <w:bCs/>
          <w:szCs w:val="21"/>
        </w:rPr>
        <w:t>定期开展对外劳务合作业务统计培训，将</w:t>
      </w:r>
      <w:r>
        <w:rPr>
          <w:rFonts w:hint="eastAsia" w:ascii="宋体" w:hAnsi="宋体" w:cs="宋体"/>
          <w:kern w:val="0"/>
          <w:szCs w:val="21"/>
          <w:lang w:bidi="ar"/>
        </w:rPr>
        <w:t>学习和贯彻</w:t>
      </w:r>
      <w:r>
        <w:rPr>
          <w:rStyle w:val="13"/>
          <w:rFonts w:hint="eastAsia" w:ascii="宋体" w:hAnsi="宋体" w:cs="宋体"/>
          <w:color w:val="auto"/>
          <w:kern w:val="0"/>
          <w:sz w:val="21"/>
          <w:szCs w:val="21"/>
          <w:lang w:bidi="ar"/>
        </w:rPr>
        <w:t>统计</w:t>
      </w:r>
      <w:r>
        <w:rPr>
          <w:rFonts w:hint="eastAsia" w:ascii="宋体" w:hAnsi="宋体" w:cs="宋体"/>
          <w:kern w:val="0"/>
          <w:szCs w:val="21"/>
          <w:lang w:bidi="ar"/>
        </w:rPr>
        <w:t>法律法规纳入培训内容，提高</w:t>
      </w:r>
      <w:r>
        <w:rPr>
          <w:rStyle w:val="13"/>
          <w:rFonts w:hint="eastAsia" w:ascii="宋体" w:hAnsi="宋体" w:cs="宋体"/>
          <w:color w:val="auto"/>
          <w:kern w:val="0"/>
          <w:sz w:val="21"/>
          <w:szCs w:val="21"/>
          <w:lang w:bidi="ar"/>
        </w:rPr>
        <w:t>统计</w:t>
      </w:r>
      <w:r>
        <w:rPr>
          <w:rFonts w:hint="eastAsia" w:ascii="宋体" w:hAnsi="宋体" w:cs="宋体"/>
          <w:kern w:val="0"/>
          <w:szCs w:val="21"/>
          <w:lang w:bidi="ar"/>
        </w:rPr>
        <w:t>数据质量。</w:t>
      </w:r>
    </w:p>
    <w:p w14:paraId="4B29E70E">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rPr>
      </w:pPr>
      <w:r>
        <w:rPr>
          <w:rFonts w:ascii="宋体" w:hAnsi="宋体" w:cs="宋体"/>
          <w:bCs/>
          <w:kern w:val="0"/>
          <w:szCs w:val="21"/>
          <w:lang w:val="en"/>
        </w:rPr>
        <w:t>4</w:t>
      </w:r>
      <w:r>
        <w:rPr>
          <w:rFonts w:hint="eastAsia" w:ascii="宋体" w:cs="宋体"/>
          <w:bCs/>
          <w:kern w:val="0"/>
          <w:szCs w:val="21"/>
          <w:lang w:val="en-US" w:eastAsia="zh-CN"/>
        </w:rPr>
        <w:t xml:space="preserve">. </w:t>
      </w:r>
      <w:r>
        <w:rPr>
          <w:rFonts w:hint="eastAsia" w:ascii="宋体" w:hAnsi="宋体" w:cs="宋体"/>
          <w:bCs/>
          <w:kern w:val="0"/>
          <w:szCs w:val="21"/>
        </w:rPr>
        <w:t>各级商务主管部门和企业</w:t>
      </w:r>
      <w:r>
        <w:rPr>
          <w:rFonts w:hint="eastAsia" w:ascii="宋体" w:hAnsi="宋体" w:cs="宋体"/>
          <w:bCs/>
          <w:kern w:val="0"/>
          <w:szCs w:val="21"/>
          <w:lang w:eastAsia="zh-CN"/>
        </w:rPr>
        <w:t>须</w:t>
      </w:r>
      <w:r>
        <w:rPr>
          <w:rFonts w:hint="eastAsia" w:ascii="宋体" w:hAnsi="宋体" w:cs="宋体"/>
          <w:bCs/>
          <w:szCs w:val="21"/>
          <w:lang w:eastAsia="zh-CN"/>
        </w:rPr>
        <w:t>根据工作需要配备统计人员并保持相对稳定，并提供必要的经费保障，</w:t>
      </w:r>
      <w:r>
        <w:rPr>
          <w:rFonts w:hint="eastAsia" w:ascii="宋体" w:hAnsi="宋体" w:cs="宋体"/>
          <w:bCs/>
          <w:kern w:val="0"/>
          <w:szCs w:val="21"/>
        </w:rPr>
        <w:t>加强数据传输的现代化建设，充分运用网络传输手段，全面提高统计</w:t>
      </w:r>
      <w:r>
        <w:rPr>
          <w:rFonts w:hint="eastAsia" w:ascii="宋体" w:hAnsi="宋体" w:eastAsia="宋体" w:cs="宋体"/>
          <w:bCs/>
          <w:kern w:val="2"/>
          <w:sz w:val="21"/>
          <w:szCs w:val="21"/>
          <w:lang w:val="en-US" w:eastAsia="zh-CN" w:bidi="ar-SA"/>
        </w:rPr>
        <w:t>工作质量。商务部</w:t>
      </w:r>
      <w:r>
        <w:rPr>
          <w:rFonts w:hint="eastAsia" w:ascii="宋体" w:hAnsi="宋体" w:cs="宋体"/>
          <w:bCs/>
          <w:kern w:val="2"/>
          <w:sz w:val="21"/>
          <w:szCs w:val="21"/>
          <w:lang w:val="en-US" w:eastAsia="zh-CN" w:bidi="ar-SA"/>
        </w:rPr>
        <w:t>将</w:t>
      </w:r>
      <w:r>
        <w:rPr>
          <w:rFonts w:hint="eastAsia" w:ascii="宋体" w:hAnsi="宋体" w:eastAsia="宋体" w:cs="宋体"/>
          <w:bCs/>
          <w:kern w:val="2"/>
          <w:sz w:val="21"/>
          <w:szCs w:val="21"/>
          <w:lang w:val="en-US" w:eastAsia="zh-CN" w:bidi="ar-SA"/>
        </w:rPr>
        <w:t>不定期对企业报送的统计数据进行核查，以保证统计数据的准确性和严肃性。</w:t>
      </w:r>
    </w:p>
    <w:p w14:paraId="12B66DF2">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bCs/>
          <w:kern w:val="2"/>
          <w:sz w:val="21"/>
          <w:szCs w:val="21"/>
          <w:lang w:val="en-US" w:eastAsia="zh-CN" w:bidi="ar-SA"/>
        </w:rPr>
      </w:pPr>
      <w:r>
        <w:rPr>
          <w:rFonts w:ascii="宋体" w:hAnsi="宋体" w:cs="宋体"/>
          <w:bCs/>
          <w:kern w:val="0"/>
          <w:szCs w:val="21"/>
          <w:lang w:val="en"/>
        </w:rPr>
        <w:t>5</w:t>
      </w:r>
      <w:r>
        <w:rPr>
          <w:rFonts w:hint="eastAsia" w:ascii="宋体" w:cs="宋体"/>
          <w:bCs/>
          <w:kern w:val="0"/>
          <w:szCs w:val="21"/>
          <w:lang w:val="en-US" w:eastAsia="zh-CN"/>
        </w:rPr>
        <w:t xml:space="preserve">. </w:t>
      </w:r>
      <w:r>
        <w:rPr>
          <w:rFonts w:hint="eastAsia" w:ascii="宋体" w:hAnsi="宋体" w:eastAsia="宋体" w:cs="宋体"/>
          <w:bCs/>
          <w:kern w:val="0"/>
          <w:sz w:val="21"/>
          <w:szCs w:val="21"/>
          <w:lang w:val="en-US" w:eastAsia="zh-CN" w:bidi="ar-SA"/>
        </w:rPr>
        <w:t>商务主管部门和有关企业（单位）</w:t>
      </w:r>
      <w:r>
        <w:rPr>
          <w:rFonts w:hint="eastAsia" w:ascii="宋体" w:hAnsi="宋体" w:cs="宋体"/>
          <w:bCs/>
          <w:kern w:val="0"/>
          <w:sz w:val="21"/>
          <w:szCs w:val="21"/>
          <w:lang w:val="en-US" w:eastAsia="zh-CN" w:bidi="ar-SA"/>
        </w:rPr>
        <w:t>须</w:t>
      </w:r>
      <w:r>
        <w:rPr>
          <w:rFonts w:hint="eastAsia" w:ascii="宋体" w:hAnsi="宋体" w:eastAsia="宋体" w:cs="宋体"/>
          <w:bCs/>
          <w:kern w:val="0"/>
          <w:sz w:val="21"/>
          <w:szCs w:val="21"/>
          <w:lang w:val="en-US" w:eastAsia="zh-CN" w:bidi="ar-SA"/>
        </w:rPr>
        <w:t>坚决贯彻落实《关于防范和惩治商务领域统计造假弄虚作假有关责任的规定》，落实统计责任，全面防范和严肃惩治商务统计</w:t>
      </w:r>
      <w:r>
        <w:rPr>
          <w:rFonts w:hint="eastAsia" w:ascii="宋体" w:hAnsi="宋体" w:eastAsia="宋体" w:cs="宋体"/>
          <w:bCs/>
          <w:color w:val="auto"/>
          <w:kern w:val="0"/>
          <w:sz w:val="21"/>
          <w:szCs w:val="21"/>
          <w:lang w:val="en-US" w:eastAsia="zh-CN" w:bidi="ar-SA"/>
        </w:rPr>
        <w:t>造假</w:t>
      </w:r>
      <w:r>
        <w:rPr>
          <w:rFonts w:hint="eastAsia" w:ascii="宋体" w:hAnsi="宋体" w:cs="宋体"/>
          <w:bCs/>
          <w:color w:val="auto"/>
          <w:kern w:val="0"/>
          <w:sz w:val="21"/>
          <w:szCs w:val="21"/>
          <w:lang w:val="en-US" w:eastAsia="zh-CN" w:bidi="ar-SA"/>
        </w:rPr>
        <w:t>、弄虚作假</w:t>
      </w:r>
      <w:r>
        <w:rPr>
          <w:rFonts w:hint="eastAsia" w:ascii="宋体" w:hAnsi="宋体" w:eastAsia="宋体" w:cs="宋体"/>
          <w:bCs/>
          <w:color w:val="auto"/>
          <w:kern w:val="0"/>
          <w:sz w:val="21"/>
          <w:szCs w:val="21"/>
          <w:lang w:val="en-US" w:eastAsia="zh-CN" w:bidi="ar-SA"/>
        </w:rPr>
        <w:t>，</w:t>
      </w:r>
      <w:r>
        <w:rPr>
          <w:rFonts w:hint="eastAsia" w:ascii="宋体" w:hAnsi="宋体" w:eastAsia="宋体" w:cs="宋体"/>
          <w:bCs/>
          <w:kern w:val="0"/>
          <w:sz w:val="21"/>
          <w:szCs w:val="21"/>
          <w:lang w:val="en-US" w:eastAsia="zh-CN" w:bidi="ar-SA"/>
        </w:rPr>
        <w:t>保障统计数据质量。</w:t>
      </w:r>
    </w:p>
    <w:p w14:paraId="3086D7D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kern w:val="0"/>
          <w:sz w:val="21"/>
          <w:szCs w:val="21"/>
          <w:lang w:val="en-US" w:eastAsia="zh-CN" w:bidi="ar-SA"/>
        </w:rPr>
      </w:pPr>
      <w:r>
        <w:rPr>
          <w:rFonts w:hint="eastAsia" w:ascii="宋体" w:hAnsi="宋体" w:eastAsia="宋体" w:cs="宋体"/>
          <w:bCs/>
          <w:kern w:val="2"/>
          <w:sz w:val="21"/>
          <w:szCs w:val="21"/>
          <w:lang w:val="en-US" w:eastAsia="zh-CN" w:bidi="ar-SA"/>
        </w:rPr>
        <w:t>6</w:t>
      </w:r>
      <w:r>
        <w:rPr>
          <w:rFonts w:hint="eastAsia" w:ascii="宋体" w:cs="宋体"/>
          <w:bCs/>
          <w:kern w:val="0"/>
          <w:szCs w:val="21"/>
          <w:lang w:val="en-US" w:eastAsia="zh-CN"/>
        </w:rPr>
        <w:t xml:space="preserve">. </w:t>
      </w:r>
      <w:r>
        <w:rPr>
          <w:rFonts w:hint="eastAsia" w:ascii="宋体" w:hAnsi="宋体" w:eastAsia="宋体" w:cs="宋体"/>
          <w:bCs/>
          <w:kern w:val="2"/>
          <w:sz w:val="21"/>
          <w:szCs w:val="21"/>
          <w:lang w:val="en-US" w:eastAsia="zh-CN" w:bidi="ar-SA"/>
        </w:rPr>
        <w:t>商务部制定《商务统计源头数据质量核查办法》，加强统计源头数据质量管理和真实性审核。各级商务主管部门和有关企业对本辖区或下属企业的统计数据开展真实性审核，切实提高统计数据质量。</w:t>
      </w:r>
    </w:p>
    <w:p w14:paraId="269A24B9">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rPr>
      </w:pPr>
      <w:bookmarkStart w:id="60" w:name="_Toc802097562"/>
      <w:r>
        <w:rPr>
          <w:rFonts w:hint="eastAsia" w:ascii="宋体" w:hAnsi="宋体" w:cs="宋体"/>
          <w:b/>
        </w:rPr>
        <w:t>（十）监督检查</w:t>
      </w:r>
    </w:p>
    <w:p w14:paraId="4B6408EE">
      <w:pPr>
        <w:autoSpaceDE w:val="0"/>
        <w:autoSpaceDN w:val="0"/>
        <w:adjustRightInd w:val="0"/>
        <w:snapToGrid w:val="0"/>
        <w:spacing w:line="380" w:lineRule="exact"/>
        <w:ind w:firstLine="420" w:firstLineChars="200"/>
        <w:textAlignment w:val="bottom"/>
        <w:rPr>
          <w:rFonts w:ascii="宋体" w:hAnsi="宋体"/>
          <w:bCs/>
          <w:szCs w:val="21"/>
        </w:rPr>
      </w:pPr>
      <w:r>
        <w:rPr>
          <w:rFonts w:hint="eastAsia" w:ascii="宋体" w:hAnsi="宋体"/>
          <w:bCs/>
          <w:szCs w:val="21"/>
        </w:rPr>
        <w:t>1</w:t>
      </w:r>
      <w:r>
        <w:rPr>
          <w:rFonts w:hint="eastAsia" w:ascii="宋体" w:cs="宋体"/>
          <w:bCs/>
          <w:kern w:val="0"/>
          <w:szCs w:val="21"/>
          <w:lang w:val="en-US" w:eastAsia="zh-CN"/>
        </w:rPr>
        <w:t xml:space="preserve">. </w:t>
      </w:r>
      <w:r>
        <w:rPr>
          <w:rFonts w:hint="eastAsia" w:ascii="宋体" w:hAnsi="宋体"/>
          <w:bCs/>
          <w:szCs w:val="21"/>
        </w:rPr>
        <w:t>各省级商务主管部门根据《统计法》要求，应及时向本级人民政府统计机构提供统计违法线索和相关材料，协助本级人民政府统计机构查处统计违法行为。涉及重大、典型统计违法行为，可将线索和相关材料上报商务部，</w:t>
      </w:r>
      <w:r>
        <w:rPr>
          <w:rFonts w:hint="eastAsia" w:ascii="宋体" w:hAnsi="宋体"/>
          <w:bCs/>
          <w:szCs w:val="21"/>
          <w:highlight w:val="none"/>
        </w:rPr>
        <w:t>由商务部</w:t>
      </w:r>
      <w:r>
        <w:rPr>
          <w:rFonts w:hint="eastAsia" w:ascii="宋体" w:hAnsi="宋体"/>
          <w:bCs/>
          <w:szCs w:val="21"/>
          <w:highlight w:val="none"/>
          <w:lang w:eastAsia="zh-CN"/>
        </w:rPr>
        <w:t>移送</w:t>
      </w:r>
      <w:r>
        <w:rPr>
          <w:rFonts w:hint="eastAsia" w:ascii="宋体" w:hAnsi="宋体"/>
          <w:bCs/>
          <w:szCs w:val="21"/>
          <w:highlight w:val="none"/>
        </w:rPr>
        <w:t>国家统计局</w:t>
      </w:r>
      <w:r>
        <w:rPr>
          <w:rFonts w:hint="eastAsia" w:ascii="宋体" w:hAnsi="宋体"/>
          <w:bCs/>
          <w:szCs w:val="21"/>
          <w:highlight w:val="none"/>
          <w:lang w:eastAsia="zh-CN"/>
        </w:rPr>
        <w:t>依法办理</w:t>
      </w:r>
      <w:r>
        <w:rPr>
          <w:rFonts w:hint="eastAsia" w:ascii="宋体" w:hAnsi="宋体"/>
          <w:bCs/>
          <w:szCs w:val="21"/>
        </w:rPr>
        <w:t>。</w:t>
      </w:r>
    </w:p>
    <w:p w14:paraId="64A2B4FB">
      <w:pPr>
        <w:autoSpaceDE w:val="0"/>
        <w:autoSpaceDN w:val="0"/>
        <w:adjustRightInd w:val="0"/>
        <w:snapToGrid w:val="0"/>
        <w:spacing w:line="380" w:lineRule="exact"/>
        <w:ind w:firstLine="420" w:firstLineChars="200"/>
        <w:textAlignment w:val="bottom"/>
        <w:rPr>
          <w:rFonts w:ascii="宋体" w:hAnsi="宋体"/>
          <w:bCs/>
          <w:szCs w:val="21"/>
        </w:rPr>
      </w:pPr>
      <w:r>
        <w:rPr>
          <w:rFonts w:hint="eastAsia" w:ascii="宋体" w:hAnsi="宋体"/>
          <w:bCs/>
          <w:szCs w:val="21"/>
        </w:rPr>
        <w:t>2</w:t>
      </w:r>
      <w:r>
        <w:rPr>
          <w:rFonts w:hint="eastAsia" w:ascii="宋体" w:cs="宋体"/>
          <w:bCs/>
          <w:kern w:val="0"/>
          <w:szCs w:val="21"/>
          <w:lang w:val="en-US" w:eastAsia="zh-CN"/>
        </w:rPr>
        <w:t xml:space="preserve">. </w:t>
      </w:r>
      <w:r>
        <w:rPr>
          <w:rFonts w:hint="eastAsia" w:ascii="宋体" w:hAnsi="宋体"/>
          <w:bCs/>
          <w:szCs w:val="21"/>
        </w:rPr>
        <w:t>商务部将联合有关部门</w:t>
      </w:r>
      <w:r>
        <w:rPr>
          <w:rFonts w:hint="eastAsia" w:ascii="宋体" w:hAnsi="宋体"/>
          <w:bCs/>
          <w:color w:val="auto"/>
          <w:szCs w:val="21"/>
        </w:rPr>
        <w:t>不定期开展统计检查</w:t>
      </w:r>
      <w:r>
        <w:rPr>
          <w:rFonts w:hint="eastAsia" w:ascii="宋体" w:hAnsi="宋体"/>
          <w:bCs/>
          <w:szCs w:val="21"/>
        </w:rPr>
        <w:t>。</w:t>
      </w:r>
    </w:p>
    <w:p w14:paraId="1F31C7CF">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lang w:val="en"/>
        </w:rPr>
      </w:pPr>
      <w:r>
        <w:rPr>
          <w:rFonts w:hint="eastAsia" w:ascii="宋体" w:hAnsi="宋体" w:cs="宋体"/>
          <w:b/>
        </w:rPr>
        <w:t>（</w:t>
      </w:r>
      <w:r>
        <w:rPr>
          <w:rFonts w:ascii="宋体" w:hAnsi="宋体" w:cs="宋体"/>
          <w:b/>
          <w:lang w:val="en"/>
        </w:rPr>
        <w:t>十一</w:t>
      </w:r>
      <w:r>
        <w:rPr>
          <w:rFonts w:hint="eastAsia" w:ascii="宋体" w:hAnsi="宋体" w:cs="宋体"/>
          <w:b/>
        </w:rPr>
        <w:t>）</w:t>
      </w:r>
      <w:r>
        <w:rPr>
          <w:rFonts w:hint="eastAsia" w:ascii="宋体" w:hAnsi="宋体" w:cs="宋体"/>
          <w:b/>
          <w:lang w:val="en"/>
        </w:rPr>
        <w:t>统计资料管理</w:t>
      </w:r>
      <w:bookmarkEnd w:id="60"/>
    </w:p>
    <w:p w14:paraId="45C564B6">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1</w:t>
      </w:r>
      <w:r>
        <w:rPr>
          <w:rFonts w:hint="eastAsia" w:ascii="宋体" w:cs="宋体"/>
          <w:bCs/>
          <w:kern w:val="0"/>
          <w:szCs w:val="21"/>
          <w:lang w:val="en-US" w:eastAsia="zh-CN"/>
        </w:rPr>
        <w:t xml:space="preserve">. </w:t>
      </w:r>
      <w:r>
        <w:rPr>
          <w:rFonts w:hint="eastAsia" w:ascii="宋体" w:hAnsi="宋体" w:cs="宋体"/>
          <w:bCs/>
          <w:szCs w:val="21"/>
        </w:rPr>
        <w:t>企业应当按照国家有关规定设置原始记录、统计台账，建立健全统计资料的审核、签署、交接、归档等管理制度。 </w:t>
      </w:r>
    </w:p>
    <w:p w14:paraId="5A7C39F8">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2</w:t>
      </w:r>
      <w:r>
        <w:rPr>
          <w:rFonts w:hint="eastAsia" w:ascii="宋体" w:cs="宋体"/>
          <w:bCs/>
          <w:kern w:val="0"/>
          <w:szCs w:val="21"/>
          <w:lang w:val="en-US" w:eastAsia="zh-CN"/>
        </w:rPr>
        <w:t xml:space="preserve">. </w:t>
      </w:r>
      <w:r>
        <w:rPr>
          <w:rFonts w:hint="eastAsia" w:ascii="宋体" w:hAnsi="宋体" w:cs="宋体"/>
          <w:bCs/>
          <w:szCs w:val="21"/>
        </w:rPr>
        <w:t>各省级商务主管部门应当按照国家有关规定建立统计资料的保存、管理制度，建立健全统计信息共享机制。</w:t>
      </w:r>
    </w:p>
    <w:p w14:paraId="47364782">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3</w:t>
      </w:r>
      <w:r>
        <w:rPr>
          <w:rFonts w:hint="eastAsia" w:ascii="宋体" w:cs="宋体"/>
          <w:bCs/>
          <w:kern w:val="0"/>
          <w:szCs w:val="21"/>
          <w:lang w:val="en-US" w:eastAsia="zh-CN"/>
        </w:rPr>
        <w:t xml:space="preserve">. </w:t>
      </w:r>
      <w:r>
        <w:rPr>
          <w:rFonts w:hint="eastAsia" w:ascii="宋体" w:hAnsi="宋体" w:cs="宋体"/>
          <w:bCs/>
          <w:szCs w:val="21"/>
        </w:rPr>
        <w:t>统计机构和统计人员对在统计工作中知悉的</w:t>
      </w:r>
      <w:r>
        <w:rPr>
          <w:rFonts w:hint="eastAsia" w:ascii="宋体" w:hAnsi="宋体" w:eastAsia="宋体" w:cs="宋体"/>
          <w:bCs/>
          <w:kern w:val="0"/>
          <w:szCs w:val="21"/>
          <w:lang w:val="en-US" w:eastAsia="zh-CN"/>
        </w:rPr>
        <w:t>国家秘密、工作秘密、商业秘密、个人隐私和个人信息</w:t>
      </w:r>
      <w:r>
        <w:rPr>
          <w:rFonts w:hint="eastAsia" w:ascii="宋体" w:hAnsi="宋体" w:cs="宋体"/>
          <w:bCs/>
          <w:szCs w:val="21"/>
        </w:rPr>
        <w:t>，应当予以保密</w:t>
      </w:r>
      <w:r>
        <w:rPr>
          <w:rFonts w:hint="eastAsia" w:ascii="宋体" w:hAnsi="宋体" w:cs="宋体"/>
          <w:bCs/>
          <w:szCs w:val="21"/>
          <w:lang w:eastAsia="zh-CN"/>
        </w:rPr>
        <w:t>，</w:t>
      </w:r>
      <w:r>
        <w:rPr>
          <w:rFonts w:hint="eastAsia" w:ascii="宋体" w:hAnsi="宋体" w:eastAsia="宋体" w:cs="宋体"/>
          <w:bCs/>
          <w:kern w:val="0"/>
          <w:szCs w:val="21"/>
          <w:lang w:val="en-US" w:eastAsia="zh-CN"/>
        </w:rPr>
        <w:t>不得泄露或者向他人非法提供</w:t>
      </w:r>
      <w:r>
        <w:rPr>
          <w:rFonts w:hint="eastAsia" w:ascii="宋体" w:hAnsi="宋体" w:cs="宋体"/>
          <w:bCs/>
          <w:szCs w:val="21"/>
        </w:rPr>
        <w:t>。</w:t>
      </w:r>
    </w:p>
    <w:p w14:paraId="1AABDE2D">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4</w:t>
      </w:r>
      <w:r>
        <w:rPr>
          <w:rFonts w:hint="eastAsia" w:ascii="宋体" w:cs="宋体"/>
          <w:bCs/>
          <w:kern w:val="0"/>
          <w:szCs w:val="21"/>
          <w:lang w:val="en-US" w:eastAsia="zh-CN"/>
        </w:rPr>
        <w:t xml:space="preserve">. </w:t>
      </w:r>
      <w:r>
        <w:rPr>
          <w:rFonts w:hint="eastAsia" w:ascii="宋体" w:hAnsi="宋体" w:cs="宋体"/>
          <w:bCs/>
          <w:szCs w:val="21"/>
        </w:rPr>
        <w:t>统计调查中获得的能够识别或者推断单个统计调查对象身份的资料，任何单位和个人不得对外提供、泄露，不得用于统计以外的目的。</w:t>
      </w:r>
    </w:p>
    <w:p w14:paraId="301309C3">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5</w:t>
      </w:r>
      <w:r>
        <w:rPr>
          <w:rFonts w:hint="eastAsia" w:ascii="宋体" w:cs="宋体"/>
          <w:bCs/>
          <w:kern w:val="0"/>
          <w:szCs w:val="21"/>
          <w:lang w:val="en-US" w:eastAsia="zh-CN"/>
        </w:rPr>
        <w:t xml:space="preserve">. </w:t>
      </w:r>
      <w:r>
        <w:rPr>
          <w:rFonts w:hint="eastAsia" w:ascii="宋体" w:hAnsi="宋体" w:cs="宋体"/>
          <w:bCs/>
          <w:szCs w:val="21"/>
        </w:rPr>
        <w:t>各省级商务主管部门和企业应加强跨境数据信息管理，遵守境内外数据信息保护规定和要求，依法合规收集、存储、使用统计数据信息。</w:t>
      </w:r>
    </w:p>
    <w:p w14:paraId="00D09AE2">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bookmarkStart w:id="61" w:name="_Toc104681770"/>
      <w:r>
        <w:rPr>
          <w:rFonts w:hint="eastAsia" w:ascii="宋体" w:hAnsi="宋体" w:cs="宋体"/>
          <w:b/>
        </w:rPr>
        <w:t>（十</w:t>
      </w:r>
      <w:r>
        <w:rPr>
          <w:rFonts w:hint="eastAsia" w:ascii="宋体" w:hAnsi="宋体" w:cs="宋体"/>
          <w:b/>
          <w:lang w:eastAsia="zh-CN"/>
        </w:rPr>
        <w:t>二</w:t>
      </w:r>
      <w:r>
        <w:rPr>
          <w:rFonts w:hint="eastAsia" w:ascii="宋体" w:hAnsi="宋体" w:cs="宋体"/>
          <w:b/>
        </w:rPr>
        <w:t>）统计资料公布</w:t>
      </w:r>
    </w:p>
    <w:p w14:paraId="459DE863">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rPr>
      </w:pPr>
      <w:r>
        <w:rPr>
          <w:rFonts w:hint="eastAsia" w:ascii="宋体" w:hAnsi="宋体" w:cs="宋体"/>
          <w:bCs/>
          <w:kern w:val="0"/>
          <w:szCs w:val="21"/>
        </w:rPr>
        <w:t>1</w:t>
      </w:r>
      <w:r>
        <w:rPr>
          <w:rFonts w:hint="eastAsia" w:ascii="宋体" w:cs="宋体"/>
          <w:bCs/>
          <w:kern w:val="0"/>
          <w:szCs w:val="21"/>
          <w:lang w:val="en-US" w:eastAsia="zh-CN"/>
        </w:rPr>
        <w:t xml:space="preserve">. </w:t>
      </w:r>
      <w:r>
        <w:rPr>
          <w:rFonts w:hint="eastAsia" w:ascii="宋体" w:hAnsi="宋体" w:cs="宋体"/>
          <w:bCs/>
          <w:kern w:val="0"/>
          <w:szCs w:val="21"/>
        </w:rPr>
        <w:t>对外劳务合作业务统计数据由商务部定期发布，月度数据于月后30日内通过商务部政府网站(http://www.mofcom.gov.cn)或商务部例行发布会对外公布，主要指标包括派出人数、</w:t>
      </w:r>
      <w:r>
        <w:rPr>
          <w:rFonts w:hint="eastAsia" w:ascii="宋体" w:hAnsi="宋体" w:cs="宋体"/>
          <w:bCs/>
          <w:kern w:val="0"/>
          <w:szCs w:val="21"/>
          <w:highlight w:val="none"/>
          <w:lang w:val="en" w:eastAsia="zh-CN"/>
        </w:rPr>
        <w:t>月</w:t>
      </w:r>
      <w:r>
        <w:rPr>
          <w:rFonts w:hint="eastAsia" w:ascii="宋体" w:hAnsi="宋体" w:cs="宋体"/>
          <w:bCs/>
          <w:kern w:val="0"/>
          <w:szCs w:val="21"/>
        </w:rPr>
        <w:t>末在外人数等。</w:t>
      </w:r>
    </w:p>
    <w:p w14:paraId="74E6DB8F">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lang w:val="en"/>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lang w:val="en"/>
        </w:rPr>
        <w:t>对外提供的对外劳务合作业务统计资料，以商务部发布的统计资料为准。</w:t>
      </w:r>
    </w:p>
    <w:p w14:paraId="2F3C6AC4">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r>
        <w:rPr>
          <w:rFonts w:hint="eastAsia" w:ascii="宋体" w:hAnsi="宋体" w:cs="宋体"/>
          <w:b/>
        </w:rPr>
        <w:t>（</w:t>
      </w:r>
      <w:r>
        <w:rPr>
          <w:rFonts w:ascii="宋体" w:hAnsi="宋体" w:cs="宋体"/>
          <w:b/>
          <w:lang w:val="en"/>
        </w:rPr>
        <w:t>十</w:t>
      </w:r>
      <w:r>
        <w:rPr>
          <w:rFonts w:hint="eastAsia" w:ascii="宋体" w:hAnsi="宋体" w:cs="宋体"/>
          <w:b/>
          <w:lang w:val="en" w:eastAsia="zh-CN"/>
        </w:rPr>
        <w:t>三</w:t>
      </w:r>
      <w:r>
        <w:rPr>
          <w:rFonts w:hint="eastAsia" w:ascii="宋体" w:hAnsi="宋体" w:cs="宋体"/>
          <w:b/>
        </w:rPr>
        <w:t>）</w:t>
      </w:r>
      <w:r>
        <w:rPr>
          <w:rFonts w:hint="eastAsia" w:ascii="宋体" w:hAnsi="宋体" w:cs="宋体"/>
          <w:b/>
          <w:lang w:eastAsia="zh-CN"/>
        </w:rPr>
        <w:t>统计</w:t>
      </w:r>
      <w:r>
        <w:rPr>
          <w:rFonts w:ascii="宋体" w:hAnsi="宋体" w:cs="宋体"/>
          <w:b/>
          <w:lang w:val="en"/>
        </w:rPr>
        <w:t>信息共享</w:t>
      </w:r>
      <w:bookmarkEnd w:id="61"/>
    </w:p>
    <w:p w14:paraId="4940C31F">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bCs/>
          <w:kern w:val="0"/>
          <w:szCs w:val="21"/>
          <w:highlight w:val="none"/>
        </w:rPr>
      </w:pPr>
      <w:bookmarkStart w:id="62" w:name="_Toc610035109"/>
      <w:r>
        <w:rPr>
          <w:rFonts w:hint="eastAsia" w:ascii="宋体" w:hAnsi="宋体" w:cs="宋体"/>
          <w:bCs/>
          <w:kern w:val="0"/>
          <w:szCs w:val="21"/>
          <w:highlight w:val="none"/>
          <w:lang w:val="en"/>
        </w:rPr>
        <w:t>经批准对外发布的数据，</w:t>
      </w:r>
      <w:r>
        <w:rPr>
          <w:rFonts w:ascii="宋体" w:hAnsi="宋体" w:cs="宋体"/>
          <w:bCs/>
          <w:kern w:val="0"/>
          <w:szCs w:val="21"/>
          <w:highlight w:val="none"/>
          <w:lang w:val="en"/>
        </w:rPr>
        <w:t>可</w:t>
      </w:r>
      <w:r>
        <w:rPr>
          <w:rFonts w:hint="eastAsia" w:ascii="宋体" w:hAnsi="宋体" w:cs="宋体"/>
          <w:bCs/>
          <w:kern w:val="0"/>
          <w:szCs w:val="21"/>
          <w:highlight w:val="none"/>
          <w:lang w:val="en"/>
        </w:rPr>
        <w:t>按照协定方式</w:t>
      </w:r>
      <w:r>
        <w:rPr>
          <w:rFonts w:ascii="宋体" w:hAnsi="宋体" w:cs="宋体"/>
          <w:bCs/>
          <w:kern w:val="0"/>
          <w:szCs w:val="21"/>
          <w:highlight w:val="none"/>
          <w:lang w:val="en"/>
        </w:rPr>
        <w:t>与</w:t>
      </w:r>
      <w:r>
        <w:rPr>
          <w:rFonts w:hint="eastAsia" w:ascii="宋体" w:hAnsi="宋体" w:cs="宋体"/>
          <w:bCs/>
          <w:kern w:val="0"/>
          <w:szCs w:val="21"/>
          <w:highlight w:val="none"/>
          <w:lang w:val="en"/>
        </w:rPr>
        <w:t>相关政府</w:t>
      </w:r>
      <w:r>
        <w:rPr>
          <w:rFonts w:ascii="宋体" w:hAnsi="宋体" w:cs="宋体"/>
          <w:bCs/>
          <w:kern w:val="0"/>
          <w:szCs w:val="21"/>
          <w:highlight w:val="none"/>
          <w:lang w:val="en"/>
        </w:rPr>
        <w:t>部门共享</w:t>
      </w:r>
      <w:r>
        <w:rPr>
          <w:rFonts w:hint="eastAsia" w:ascii="宋体" w:hAnsi="宋体" w:cs="宋体"/>
          <w:bCs/>
          <w:kern w:val="0"/>
          <w:szCs w:val="21"/>
          <w:highlight w:val="none"/>
          <w:lang w:val="en"/>
        </w:rPr>
        <w:t>。在最终审定数据十个工作日后可以共享，</w:t>
      </w:r>
      <w:r>
        <w:rPr>
          <w:rFonts w:ascii="宋体" w:hAnsi="宋体" w:cs="宋体"/>
          <w:bCs/>
          <w:kern w:val="0"/>
          <w:szCs w:val="21"/>
          <w:highlight w:val="none"/>
          <w:lang w:val="en"/>
        </w:rPr>
        <w:t>共享责任单位为商务部对外投资和经济合作司</w:t>
      </w:r>
      <w:r>
        <w:rPr>
          <w:rFonts w:hint="eastAsia" w:ascii="宋体" w:hAnsi="宋体" w:cs="宋体"/>
          <w:bCs/>
          <w:kern w:val="0"/>
          <w:szCs w:val="21"/>
          <w:highlight w:val="none"/>
          <w:lang w:val="en"/>
        </w:rPr>
        <w:t>，共享责任人为商务部对外投资和经济合作司统计工作负责人</w:t>
      </w:r>
      <w:r>
        <w:rPr>
          <w:rFonts w:hint="eastAsia" w:ascii="宋体" w:hAnsi="宋体" w:cs="宋体"/>
          <w:bCs/>
          <w:kern w:val="0"/>
          <w:szCs w:val="21"/>
          <w:highlight w:val="none"/>
        </w:rPr>
        <w:t>。</w:t>
      </w:r>
    </w:p>
    <w:bookmarkEnd w:id="62"/>
    <w:p w14:paraId="1E4F60B6">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bookmarkStart w:id="63" w:name="_Toc24422916"/>
      <w:r>
        <w:rPr>
          <w:rFonts w:hint="eastAsia" w:ascii="宋体" w:hAnsi="宋体" w:cs="宋体"/>
          <w:b/>
          <w:lang w:val="en"/>
        </w:rPr>
        <w:t>（十</w:t>
      </w:r>
      <w:r>
        <w:rPr>
          <w:rFonts w:hint="eastAsia" w:ascii="宋体" w:hAnsi="宋体" w:cs="宋体"/>
          <w:b/>
          <w:lang w:val="en" w:eastAsia="zh-CN"/>
        </w:rPr>
        <w:t>四</w:t>
      </w:r>
      <w:r>
        <w:rPr>
          <w:rFonts w:hint="eastAsia" w:ascii="宋体" w:hAnsi="宋体" w:cs="宋体"/>
          <w:b/>
          <w:lang w:val="en"/>
        </w:rPr>
        <w:t>）使用名录</w:t>
      </w:r>
      <w:r>
        <w:rPr>
          <w:rFonts w:hint="eastAsia"/>
          <w:b/>
          <w:lang w:val="en"/>
        </w:rPr>
        <w:t>库</w:t>
      </w:r>
      <w:r>
        <w:rPr>
          <w:rFonts w:hint="eastAsia" w:ascii="宋体" w:hAnsi="宋体" w:cs="宋体"/>
          <w:b/>
          <w:lang w:val="en"/>
        </w:rPr>
        <w:t>情况</w:t>
      </w:r>
      <w:bookmarkEnd w:id="63"/>
    </w:p>
    <w:p w14:paraId="44A91E49">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bCs/>
          <w:kern w:val="0"/>
          <w:szCs w:val="21"/>
        </w:rPr>
      </w:pPr>
      <w:r>
        <w:rPr>
          <w:rFonts w:hint="eastAsia" w:ascii="宋体" w:hAnsi="宋体" w:cs="宋体"/>
          <w:bCs/>
          <w:kern w:val="0"/>
          <w:szCs w:val="21"/>
        </w:rPr>
        <w:t>无。</w:t>
      </w:r>
    </w:p>
    <w:p w14:paraId="472A5962">
      <w:pPr>
        <w:jc w:val="center"/>
        <w:outlineLvl w:val="0"/>
        <w:rPr>
          <w:rFonts w:ascii="黑体" w:eastAsia="黑体"/>
          <w:sz w:val="32"/>
          <w:szCs w:val="32"/>
        </w:rPr>
      </w:pPr>
      <w:bookmarkStart w:id="64" w:name="_Toc2012374190"/>
      <w:bookmarkStart w:id="65" w:name="_Toc972579838"/>
      <w:bookmarkStart w:id="66" w:name="_Toc1958973154"/>
      <w:bookmarkStart w:id="67" w:name="_Toc351381927"/>
      <w:r>
        <w:rPr>
          <w:rFonts w:hint="eastAsia" w:ascii="黑体" w:eastAsia="黑体"/>
          <w:sz w:val="32"/>
          <w:szCs w:val="32"/>
        </w:rPr>
        <w:br w:type="page"/>
      </w:r>
      <w:bookmarkStart w:id="68" w:name="_Toc268536871"/>
      <w:bookmarkStart w:id="69" w:name="_Toc1950560090"/>
      <w:bookmarkStart w:id="70" w:name="_Toc1922300663"/>
      <w:bookmarkStart w:id="71" w:name="_Toc30775523"/>
      <w:r>
        <w:rPr>
          <w:rFonts w:hint="eastAsia" w:ascii="黑体" w:eastAsia="黑体"/>
          <w:sz w:val="32"/>
          <w:szCs w:val="32"/>
        </w:rPr>
        <w:t>二、报 表 目 录</w:t>
      </w:r>
      <w:bookmarkEnd w:id="64"/>
      <w:bookmarkEnd w:id="65"/>
      <w:bookmarkEnd w:id="66"/>
      <w:bookmarkEnd w:id="67"/>
      <w:bookmarkEnd w:id="68"/>
      <w:bookmarkEnd w:id="69"/>
      <w:bookmarkEnd w:id="70"/>
      <w:bookmarkEnd w:id="71"/>
    </w:p>
    <w:p w14:paraId="229C2140">
      <w:pPr>
        <w:rPr>
          <w:rFonts w:ascii="黑体" w:eastAsia="黑体"/>
          <w:sz w:val="28"/>
          <w:szCs w:val="28"/>
        </w:rPr>
      </w:pPr>
    </w:p>
    <w:tbl>
      <w:tblPr>
        <w:tblStyle w:val="11"/>
        <w:tblW w:w="9691" w:type="dxa"/>
        <w:tblInd w:w="-58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29"/>
        <w:gridCol w:w="2540"/>
        <w:gridCol w:w="697"/>
        <w:gridCol w:w="1903"/>
        <w:gridCol w:w="1679"/>
        <w:gridCol w:w="1498"/>
        <w:gridCol w:w="645"/>
      </w:tblGrid>
      <w:tr w14:paraId="1EFD97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729" w:type="dxa"/>
            <w:tcBorders>
              <w:tl2br w:val="nil"/>
              <w:tr2bl w:val="nil"/>
            </w:tcBorders>
            <w:noWrap w:val="0"/>
            <w:vAlign w:val="center"/>
          </w:tcPr>
          <w:p w14:paraId="1201CCFB">
            <w:pPr>
              <w:ind w:left="-178" w:leftChars="-85" w:right="-105" w:rightChars="-50"/>
              <w:jc w:val="center"/>
              <w:rPr>
                <w:rFonts w:ascii="宋体" w:hAnsi="宋体"/>
                <w:bCs/>
                <w:sz w:val="18"/>
                <w:szCs w:val="18"/>
              </w:rPr>
            </w:pPr>
            <w:r>
              <w:rPr>
                <w:rFonts w:hint="eastAsia" w:ascii="宋体" w:hAnsi="宋体"/>
                <w:bCs/>
                <w:sz w:val="18"/>
                <w:szCs w:val="18"/>
              </w:rPr>
              <w:t>表号</w:t>
            </w:r>
          </w:p>
        </w:tc>
        <w:tc>
          <w:tcPr>
            <w:tcW w:w="2540" w:type="dxa"/>
            <w:tcBorders>
              <w:tl2br w:val="nil"/>
              <w:tr2bl w:val="nil"/>
            </w:tcBorders>
            <w:noWrap w:val="0"/>
            <w:vAlign w:val="center"/>
          </w:tcPr>
          <w:p w14:paraId="41F9A45C">
            <w:pPr>
              <w:ind w:left="-105" w:leftChars="-50" w:right="-105" w:rightChars="-50"/>
              <w:jc w:val="center"/>
              <w:rPr>
                <w:rFonts w:ascii="宋体" w:hAnsi="宋体"/>
                <w:bCs/>
                <w:sz w:val="18"/>
                <w:szCs w:val="18"/>
              </w:rPr>
            </w:pPr>
            <w:r>
              <w:rPr>
                <w:rFonts w:hint="eastAsia" w:ascii="宋体" w:hAnsi="宋体"/>
                <w:bCs/>
                <w:sz w:val="18"/>
                <w:szCs w:val="18"/>
              </w:rPr>
              <w:t>表    名</w:t>
            </w:r>
          </w:p>
        </w:tc>
        <w:tc>
          <w:tcPr>
            <w:tcW w:w="697" w:type="dxa"/>
            <w:tcBorders>
              <w:tl2br w:val="nil"/>
              <w:tr2bl w:val="nil"/>
            </w:tcBorders>
            <w:noWrap w:val="0"/>
            <w:vAlign w:val="center"/>
          </w:tcPr>
          <w:p w14:paraId="17A6FDB7">
            <w:pPr>
              <w:ind w:left="-109" w:leftChars="-52" w:right="-107" w:rightChars="-51"/>
              <w:jc w:val="center"/>
              <w:rPr>
                <w:rFonts w:ascii="宋体" w:hAnsi="宋体"/>
                <w:bCs/>
                <w:sz w:val="18"/>
                <w:szCs w:val="18"/>
              </w:rPr>
            </w:pPr>
            <w:r>
              <w:rPr>
                <w:rFonts w:hint="eastAsia" w:ascii="宋体" w:hAnsi="宋体"/>
                <w:bCs/>
                <w:sz w:val="18"/>
                <w:szCs w:val="18"/>
              </w:rPr>
              <w:t>报告</w:t>
            </w:r>
          </w:p>
          <w:p w14:paraId="46B01EE5">
            <w:pPr>
              <w:ind w:left="-109" w:leftChars="-52" w:right="-107" w:rightChars="-51"/>
              <w:jc w:val="center"/>
              <w:rPr>
                <w:rFonts w:ascii="宋体" w:hAnsi="宋体"/>
                <w:bCs/>
                <w:sz w:val="18"/>
                <w:szCs w:val="18"/>
              </w:rPr>
            </w:pPr>
            <w:r>
              <w:rPr>
                <w:rFonts w:hint="eastAsia" w:ascii="宋体" w:hAnsi="宋体"/>
                <w:bCs/>
                <w:sz w:val="18"/>
                <w:szCs w:val="18"/>
              </w:rPr>
              <w:t>期别</w:t>
            </w:r>
          </w:p>
        </w:tc>
        <w:tc>
          <w:tcPr>
            <w:tcW w:w="1903" w:type="dxa"/>
            <w:tcBorders>
              <w:tl2br w:val="nil"/>
              <w:tr2bl w:val="nil"/>
            </w:tcBorders>
            <w:noWrap w:val="0"/>
            <w:vAlign w:val="center"/>
          </w:tcPr>
          <w:p w14:paraId="7C26A3E2">
            <w:pPr>
              <w:ind w:left="-107" w:leftChars="-51" w:right="-105" w:rightChars="-50"/>
              <w:jc w:val="center"/>
              <w:rPr>
                <w:rFonts w:ascii="宋体" w:hAnsi="宋体"/>
                <w:bCs/>
                <w:sz w:val="18"/>
                <w:szCs w:val="18"/>
              </w:rPr>
            </w:pPr>
            <w:r>
              <w:rPr>
                <w:rFonts w:hint="eastAsia" w:ascii="宋体" w:hAnsi="宋体"/>
                <w:bCs/>
                <w:sz w:val="18"/>
                <w:szCs w:val="18"/>
              </w:rPr>
              <w:t>填报范围</w:t>
            </w:r>
          </w:p>
        </w:tc>
        <w:tc>
          <w:tcPr>
            <w:tcW w:w="1679" w:type="dxa"/>
            <w:tcBorders>
              <w:tl2br w:val="nil"/>
              <w:tr2bl w:val="nil"/>
            </w:tcBorders>
            <w:noWrap w:val="0"/>
            <w:vAlign w:val="center"/>
          </w:tcPr>
          <w:p w14:paraId="44DCA32A">
            <w:pPr>
              <w:ind w:left="-107" w:leftChars="-52" w:right="-107" w:rightChars="-51" w:hanging="2"/>
              <w:jc w:val="center"/>
              <w:rPr>
                <w:rFonts w:ascii="宋体" w:hAnsi="宋体"/>
                <w:bCs/>
                <w:sz w:val="18"/>
                <w:szCs w:val="18"/>
              </w:rPr>
            </w:pPr>
            <w:r>
              <w:rPr>
                <w:rFonts w:hint="eastAsia" w:ascii="宋体" w:hAnsi="宋体"/>
                <w:bCs/>
                <w:sz w:val="18"/>
                <w:szCs w:val="18"/>
              </w:rPr>
              <w:t>报送单位</w:t>
            </w:r>
          </w:p>
        </w:tc>
        <w:tc>
          <w:tcPr>
            <w:tcW w:w="1498" w:type="dxa"/>
            <w:tcBorders>
              <w:tl2br w:val="nil"/>
              <w:tr2bl w:val="nil"/>
            </w:tcBorders>
            <w:noWrap w:val="0"/>
            <w:vAlign w:val="center"/>
          </w:tcPr>
          <w:p w14:paraId="69411993">
            <w:pPr>
              <w:ind w:left="-107" w:leftChars="-51" w:right="-82" w:rightChars="-39"/>
              <w:jc w:val="center"/>
              <w:rPr>
                <w:rFonts w:ascii="宋体" w:hAnsi="宋体"/>
                <w:bCs/>
                <w:sz w:val="18"/>
                <w:szCs w:val="18"/>
              </w:rPr>
            </w:pPr>
            <w:r>
              <w:rPr>
                <w:rFonts w:hint="eastAsia" w:ascii="宋体" w:hAnsi="宋体"/>
                <w:bCs/>
                <w:sz w:val="18"/>
                <w:szCs w:val="18"/>
              </w:rPr>
              <w:t>报送日期</w:t>
            </w:r>
          </w:p>
          <w:p w14:paraId="62CA9B90">
            <w:pPr>
              <w:ind w:left="-107" w:leftChars="-51" w:right="-82" w:rightChars="-39"/>
              <w:jc w:val="center"/>
              <w:rPr>
                <w:rFonts w:ascii="宋体" w:hAnsi="宋体"/>
                <w:bCs/>
                <w:sz w:val="18"/>
                <w:szCs w:val="18"/>
              </w:rPr>
            </w:pPr>
            <w:r>
              <w:rPr>
                <w:rFonts w:hint="eastAsia" w:ascii="宋体" w:hAnsi="宋体"/>
                <w:bCs/>
                <w:sz w:val="18"/>
                <w:szCs w:val="18"/>
              </w:rPr>
              <w:t>及方式</w:t>
            </w:r>
          </w:p>
        </w:tc>
        <w:tc>
          <w:tcPr>
            <w:tcW w:w="645" w:type="dxa"/>
            <w:tcBorders>
              <w:tl2br w:val="nil"/>
              <w:tr2bl w:val="nil"/>
            </w:tcBorders>
            <w:noWrap w:val="0"/>
            <w:vAlign w:val="center"/>
          </w:tcPr>
          <w:p w14:paraId="0E84D8AA">
            <w:pPr>
              <w:ind w:right="-82" w:rightChars="-39"/>
              <w:jc w:val="center"/>
              <w:rPr>
                <w:rFonts w:ascii="宋体" w:hAnsi="宋体"/>
                <w:bCs/>
                <w:sz w:val="18"/>
                <w:szCs w:val="18"/>
              </w:rPr>
            </w:pPr>
            <w:r>
              <w:rPr>
                <w:rFonts w:hint="eastAsia" w:ascii="宋体" w:hAnsi="宋体"/>
                <w:bCs/>
                <w:sz w:val="18"/>
                <w:szCs w:val="18"/>
              </w:rPr>
              <w:t>页码</w:t>
            </w:r>
          </w:p>
        </w:tc>
      </w:tr>
      <w:tr w14:paraId="1AB2E1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13" w:hRule="atLeast"/>
        </w:trPr>
        <w:tc>
          <w:tcPr>
            <w:tcW w:w="729" w:type="dxa"/>
            <w:tcBorders>
              <w:tl2br w:val="nil"/>
              <w:tr2bl w:val="nil"/>
            </w:tcBorders>
            <w:noWrap w:val="0"/>
            <w:vAlign w:val="center"/>
          </w:tcPr>
          <w:p w14:paraId="75F9F6F7">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N</w:t>
            </w:r>
          </w:p>
        </w:tc>
        <w:tc>
          <w:tcPr>
            <w:tcW w:w="2540" w:type="dxa"/>
            <w:tcBorders>
              <w:tl2br w:val="nil"/>
              <w:tr2bl w:val="nil"/>
            </w:tcBorders>
            <w:noWrap w:val="0"/>
            <w:vAlign w:val="center"/>
          </w:tcPr>
          <w:p w14:paraId="6E91CA25">
            <w:pPr>
              <w:ind w:left="-105" w:leftChars="-50" w:right="-105" w:rightChars="-50" w:firstLine="104" w:firstLineChars="58"/>
              <w:rPr>
                <w:rFonts w:ascii="宋体" w:hAnsi="宋体"/>
                <w:bCs/>
                <w:sz w:val="18"/>
                <w:szCs w:val="18"/>
              </w:rPr>
            </w:pPr>
            <w:r>
              <w:rPr>
                <w:rFonts w:hint="eastAsia" w:ascii="宋体" w:hAnsi="宋体"/>
                <w:bCs/>
                <w:sz w:val="18"/>
                <w:szCs w:val="18"/>
                <w:lang w:val="en-US" w:eastAsia="zh-CN"/>
              </w:rPr>
              <w:t>对外劳务合作企业经营情况</w:t>
            </w:r>
          </w:p>
        </w:tc>
        <w:tc>
          <w:tcPr>
            <w:tcW w:w="697" w:type="dxa"/>
            <w:tcBorders>
              <w:tl2br w:val="nil"/>
              <w:tr2bl w:val="nil"/>
            </w:tcBorders>
            <w:noWrap w:val="0"/>
            <w:vAlign w:val="center"/>
          </w:tcPr>
          <w:p w14:paraId="05CAE4F6">
            <w:pPr>
              <w:ind w:left="-109" w:leftChars="-52" w:right="-107" w:rightChars="-51"/>
              <w:jc w:val="center"/>
              <w:rPr>
                <w:rFonts w:ascii="宋体" w:hAnsi="宋体"/>
                <w:bCs/>
                <w:sz w:val="18"/>
                <w:szCs w:val="18"/>
              </w:rPr>
            </w:pPr>
            <w:r>
              <w:rPr>
                <w:rFonts w:hint="eastAsia" w:ascii="宋体" w:hAnsi="宋体"/>
                <w:bCs/>
                <w:sz w:val="18"/>
                <w:szCs w:val="18"/>
                <w:lang w:eastAsia="zh-CN"/>
              </w:rPr>
              <w:t>年</w:t>
            </w:r>
            <w:r>
              <w:rPr>
                <w:rFonts w:hint="eastAsia" w:ascii="宋体" w:hAnsi="宋体"/>
                <w:bCs/>
                <w:sz w:val="18"/>
                <w:szCs w:val="18"/>
              </w:rPr>
              <w:t xml:space="preserve">报 </w:t>
            </w:r>
          </w:p>
        </w:tc>
        <w:tc>
          <w:tcPr>
            <w:tcW w:w="1903" w:type="dxa"/>
            <w:tcBorders>
              <w:tl2br w:val="nil"/>
              <w:tr2bl w:val="nil"/>
            </w:tcBorders>
            <w:noWrap w:val="0"/>
            <w:vAlign w:val="center"/>
          </w:tcPr>
          <w:p w14:paraId="4164D575">
            <w:pPr>
              <w:ind w:right="42" w:rightChars="20"/>
              <w:jc w:val="center"/>
              <w:rPr>
                <w:rFonts w:ascii="宋体" w:hAnsi="宋体" w:cs="宋体"/>
                <w:bCs/>
                <w:kern w:val="0"/>
                <w:sz w:val="18"/>
                <w:szCs w:val="18"/>
              </w:rPr>
            </w:pPr>
            <w:r>
              <w:rPr>
                <w:rFonts w:hint="eastAsia" w:ascii="宋体" w:hAnsi="宋体" w:cs="宋体"/>
                <w:bCs/>
                <w:kern w:val="0"/>
                <w:sz w:val="18"/>
                <w:szCs w:val="18"/>
              </w:rPr>
              <w:t xml:space="preserve">有对外劳务合作经营资格的企业   </w:t>
            </w:r>
          </w:p>
        </w:tc>
        <w:tc>
          <w:tcPr>
            <w:tcW w:w="1679" w:type="dxa"/>
            <w:tcBorders>
              <w:tl2br w:val="nil"/>
              <w:tr2bl w:val="nil"/>
            </w:tcBorders>
            <w:noWrap w:val="0"/>
            <w:vAlign w:val="center"/>
          </w:tcPr>
          <w:p w14:paraId="2062C09C">
            <w:pPr>
              <w:ind w:left="-107" w:leftChars="-52" w:right="-107" w:rightChars="-51" w:hanging="2" w:firstLineChars="0"/>
              <w:jc w:val="center"/>
              <w:rPr>
                <w:rFonts w:ascii="宋体" w:hAnsi="宋体"/>
                <w:bCs/>
                <w:sz w:val="18"/>
                <w:szCs w:val="18"/>
              </w:rPr>
            </w:pPr>
            <w:r>
              <w:rPr>
                <w:rFonts w:hint="eastAsia" w:ascii="宋体" w:hAnsi="宋体" w:cs="宋体"/>
                <w:bCs/>
                <w:kern w:val="0"/>
                <w:sz w:val="18"/>
                <w:szCs w:val="18"/>
              </w:rPr>
              <w:t>有对外劳务合作经营资格的企业</w:t>
            </w:r>
          </w:p>
        </w:tc>
        <w:tc>
          <w:tcPr>
            <w:tcW w:w="1498" w:type="dxa"/>
            <w:tcBorders>
              <w:tl2br w:val="nil"/>
              <w:tr2bl w:val="nil"/>
            </w:tcBorders>
            <w:noWrap w:val="0"/>
            <w:vAlign w:val="center"/>
          </w:tcPr>
          <w:p w14:paraId="0673879B">
            <w:pPr>
              <w:ind w:left="-107" w:leftChars="-51" w:right="-82" w:rightChars="-39"/>
              <w:jc w:val="center"/>
              <w:rPr>
                <w:rFonts w:hint="default" w:ascii="宋体" w:hAnsi="宋体" w:eastAsia="宋体"/>
                <w:bCs/>
                <w:sz w:val="18"/>
                <w:szCs w:val="18"/>
                <w:lang w:val="en-US" w:eastAsia="zh-CN"/>
              </w:rPr>
            </w:pPr>
            <w:r>
              <w:rPr>
                <w:rFonts w:hint="eastAsia" w:ascii="宋体" w:hAnsi="宋体"/>
                <w:bCs/>
                <w:sz w:val="18"/>
                <w:szCs w:val="18"/>
                <w:lang w:eastAsia="zh-CN"/>
              </w:rPr>
              <w:t>年后</w:t>
            </w:r>
            <w:r>
              <w:rPr>
                <w:rFonts w:hint="eastAsia" w:ascii="宋体" w:hAnsi="宋体"/>
                <w:bCs/>
                <w:sz w:val="18"/>
                <w:szCs w:val="18"/>
                <w:lang w:val="en-US" w:eastAsia="zh-CN"/>
              </w:rPr>
              <w:t>5月31日前</w:t>
            </w:r>
          </w:p>
        </w:tc>
        <w:tc>
          <w:tcPr>
            <w:tcW w:w="645" w:type="dxa"/>
            <w:tcBorders>
              <w:tl2br w:val="nil"/>
              <w:tr2bl w:val="nil"/>
            </w:tcBorders>
            <w:noWrap w:val="0"/>
            <w:vAlign w:val="center"/>
          </w:tcPr>
          <w:p w14:paraId="603DAC6F">
            <w:pPr>
              <w:ind w:left="-107" w:leftChars="-51" w:right="-82" w:rightChars="-39"/>
              <w:jc w:val="center"/>
              <w:rPr>
                <w:rFonts w:hint="default" w:ascii="宋体" w:hAnsi="宋体" w:eastAsia="宋体" w:cs="Times New Roman"/>
                <w:bCs/>
                <w:kern w:val="2"/>
                <w:sz w:val="18"/>
                <w:szCs w:val="18"/>
                <w:lang w:val="en-US" w:eastAsia="zh-CN" w:bidi="ar-SA"/>
              </w:rPr>
            </w:pPr>
            <w:r>
              <w:rPr>
                <w:rFonts w:hint="eastAsia" w:ascii="宋体" w:hAnsi="宋体"/>
                <w:bCs/>
                <w:sz w:val="18"/>
                <w:szCs w:val="18"/>
                <w:lang w:val="en-US" w:eastAsia="zh-CN"/>
              </w:rPr>
              <w:t>33</w:t>
            </w:r>
          </w:p>
        </w:tc>
      </w:tr>
      <w:tr w14:paraId="7CB2DF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12" w:hRule="atLeast"/>
        </w:trPr>
        <w:tc>
          <w:tcPr>
            <w:tcW w:w="729" w:type="dxa"/>
            <w:tcBorders>
              <w:tl2br w:val="nil"/>
              <w:tr2bl w:val="nil"/>
            </w:tcBorders>
            <w:noWrap w:val="0"/>
            <w:vAlign w:val="center"/>
          </w:tcPr>
          <w:p w14:paraId="5A8B2D15">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1</w:t>
            </w:r>
          </w:p>
        </w:tc>
        <w:tc>
          <w:tcPr>
            <w:tcW w:w="2540" w:type="dxa"/>
            <w:tcBorders>
              <w:tl2br w:val="nil"/>
              <w:tr2bl w:val="nil"/>
            </w:tcBorders>
            <w:noWrap w:val="0"/>
            <w:vAlign w:val="center"/>
          </w:tcPr>
          <w:p w14:paraId="6ECFF49E">
            <w:pPr>
              <w:ind w:left="-105" w:leftChars="-50" w:right="-105" w:rightChars="-50" w:firstLine="104" w:firstLineChars="58"/>
              <w:rPr>
                <w:rFonts w:hint="eastAsia" w:ascii="宋体" w:hAnsi="宋体" w:eastAsia="宋体"/>
                <w:bCs/>
                <w:sz w:val="18"/>
                <w:szCs w:val="18"/>
                <w:lang w:eastAsia="zh-CN"/>
              </w:rPr>
            </w:pPr>
            <w:r>
              <w:rPr>
                <w:rFonts w:hint="eastAsia" w:ascii="宋体" w:hAnsi="宋体"/>
                <w:bCs/>
                <w:sz w:val="18"/>
                <w:szCs w:val="18"/>
              </w:rPr>
              <w:t>对外劳务合作项目</w:t>
            </w:r>
            <w:r>
              <w:rPr>
                <w:rFonts w:hint="eastAsia" w:ascii="宋体" w:hAnsi="宋体"/>
                <w:bCs/>
                <w:sz w:val="18"/>
                <w:szCs w:val="18"/>
                <w:lang w:eastAsia="zh-CN"/>
              </w:rPr>
              <w:t>明细</w:t>
            </w:r>
          </w:p>
        </w:tc>
        <w:tc>
          <w:tcPr>
            <w:tcW w:w="697" w:type="dxa"/>
            <w:tcBorders>
              <w:tl2br w:val="nil"/>
              <w:tr2bl w:val="nil"/>
            </w:tcBorders>
            <w:noWrap w:val="0"/>
            <w:vAlign w:val="center"/>
          </w:tcPr>
          <w:p w14:paraId="6FCBFEBF">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903" w:type="dxa"/>
            <w:tcBorders>
              <w:tl2br w:val="nil"/>
              <w:tr2bl w:val="nil"/>
            </w:tcBorders>
            <w:noWrap w:val="0"/>
            <w:vAlign w:val="center"/>
          </w:tcPr>
          <w:p w14:paraId="06EAE3FB">
            <w:pPr>
              <w:ind w:right="42" w:rightChars="20"/>
              <w:jc w:val="center"/>
              <w:rPr>
                <w:rFonts w:ascii="宋体" w:hAnsi="宋体" w:eastAsia="宋体" w:cs="宋体"/>
                <w:bCs/>
                <w:kern w:val="0"/>
                <w:sz w:val="18"/>
                <w:szCs w:val="18"/>
                <w:lang w:val="en-US" w:eastAsia="zh-CN" w:bidi="ar-SA"/>
              </w:rPr>
            </w:pPr>
            <w:r>
              <w:rPr>
                <w:rFonts w:hint="eastAsia" w:ascii="宋体" w:hAnsi="宋体" w:cs="宋体"/>
                <w:bCs/>
                <w:kern w:val="0"/>
                <w:sz w:val="18"/>
                <w:szCs w:val="18"/>
              </w:rPr>
              <w:t>有对外劳务合作经营资格</w:t>
            </w:r>
            <w:r>
              <w:rPr>
                <w:rFonts w:hint="eastAsia" w:ascii="宋体" w:hAnsi="宋体" w:cs="宋体"/>
                <w:bCs/>
                <w:kern w:val="0"/>
                <w:sz w:val="18"/>
                <w:szCs w:val="18"/>
                <w:lang w:eastAsia="zh-CN"/>
              </w:rPr>
              <w:t>，并开展业务</w:t>
            </w:r>
            <w:r>
              <w:rPr>
                <w:rFonts w:hint="eastAsia" w:ascii="宋体" w:hAnsi="宋体" w:cs="宋体"/>
                <w:bCs/>
                <w:kern w:val="0"/>
                <w:sz w:val="18"/>
                <w:szCs w:val="18"/>
              </w:rPr>
              <w:t xml:space="preserve">的企业   </w:t>
            </w:r>
          </w:p>
        </w:tc>
        <w:tc>
          <w:tcPr>
            <w:tcW w:w="1679" w:type="dxa"/>
            <w:tcBorders>
              <w:tl2br w:val="nil"/>
              <w:tr2bl w:val="nil"/>
            </w:tcBorders>
            <w:noWrap w:val="0"/>
            <w:vAlign w:val="center"/>
          </w:tcPr>
          <w:p w14:paraId="663AB563">
            <w:pPr>
              <w:ind w:left="-107" w:leftChars="-52" w:right="-107" w:rightChars="-51" w:hanging="2" w:firstLineChars="0"/>
              <w:jc w:val="center"/>
              <w:rPr>
                <w:rFonts w:ascii="宋体" w:hAnsi="宋体" w:eastAsia="宋体" w:cs="Times New Roman"/>
                <w:bCs/>
                <w:kern w:val="2"/>
                <w:sz w:val="18"/>
                <w:szCs w:val="18"/>
                <w:lang w:val="en-US" w:eastAsia="zh-CN" w:bidi="ar-SA"/>
              </w:rPr>
            </w:pPr>
            <w:r>
              <w:rPr>
                <w:rFonts w:hint="eastAsia" w:ascii="宋体" w:hAnsi="宋体" w:cs="宋体"/>
                <w:bCs/>
                <w:kern w:val="0"/>
                <w:sz w:val="18"/>
                <w:szCs w:val="18"/>
              </w:rPr>
              <w:t>有对外劳务合作经营资格</w:t>
            </w:r>
            <w:r>
              <w:rPr>
                <w:rFonts w:hint="eastAsia" w:ascii="宋体" w:hAnsi="宋体" w:cs="宋体"/>
                <w:bCs/>
                <w:kern w:val="0"/>
                <w:sz w:val="18"/>
                <w:szCs w:val="18"/>
                <w:lang w:eastAsia="zh-CN"/>
              </w:rPr>
              <w:t>，并开展业务</w:t>
            </w:r>
            <w:r>
              <w:rPr>
                <w:rFonts w:hint="eastAsia" w:ascii="宋体" w:hAnsi="宋体" w:cs="宋体"/>
                <w:bCs/>
                <w:kern w:val="0"/>
                <w:sz w:val="18"/>
                <w:szCs w:val="18"/>
              </w:rPr>
              <w:t>的企业</w:t>
            </w:r>
          </w:p>
        </w:tc>
        <w:tc>
          <w:tcPr>
            <w:tcW w:w="1498" w:type="dxa"/>
            <w:tcBorders>
              <w:tl2br w:val="nil"/>
              <w:tr2bl w:val="nil"/>
            </w:tcBorders>
            <w:noWrap w:val="0"/>
            <w:vAlign w:val="center"/>
          </w:tcPr>
          <w:p w14:paraId="3E58DED5">
            <w:pPr>
              <w:ind w:left="-107" w:leftChars="-51" w:right="-82" w:rightChars="-39"/>
              <w:jc w:val="center"/>
              <w:rPr>
                <w:rFonts w:ascii="宋体" w:hAnsi="宋体"/>
                <w:bCs/>
                <w:sz w:val="18"/>
                <w:szCs w:val="18"/>
              </w:rPr>
            </w:pPr>
            <w:r>
              <w:rPr>
                <w:rFonts w:hint="eastAsia" w:ascii="宋体" w:hAnsi="宋体"/>
                <w:bCs/>
                <w:sz w:val="18"/>
                <w:szCs w:val="18"/>
              </w:rPr>
              <w:t>月后10日内</w:t>
            </w:r>
          </w:p>
          <w:p w14:paraId="75848FF4">
            <w:pPr>
              <w:ind w:left="-107" w:leftChars="-51" w:right="-82" w:rightChars="-39"/>
              <w:jc w:val="center"/>
              <w:rPr>
                <w:rFonts w:ascii="宋体" w:hAnsi="宋体" w:eastAsia="宋体" w:cs="Times New Roman"/>
                <w:bCs/>
                <w:kern w:val="2"/>
                <w:sz w:val="18"/>
                <w:szCs w:val="18"/>
                <w:lang w:val="en-US" w:eastAsia="zh-CN" w:bidi="ar-SA"/>
              </w:rPr>
            </w:pPr>
            <w:r>
              <w:rPr>
                <w:rFonts w:hint="eastAsia" w:ascii="宋体" w:hAnsi="宋体"/>
                <w:bCs/>
                <w:sz w:val="18"/>
                <w:szCs w:val="18"/>
              </w:rPr>
              <w:t>网络传输</w:t>
            </w:r>
          </w:p>
        </w:tc>
        <w:tc>
          <w:tcPr>
            <w:tcW w:w="645" w:type="dxa"/>
            <w:tcBorders>
              <w:tl2br w:val="nil"/>
              <w:tr2bl w:val="nil"/>
            </w:tcBorders>
            <w:noWrap w:val="0"/>
            <w:vAlign w:val="center"/>
          </w:tcPr>
          <w:p w14:paraId="640BBC24">
            <w:pPr>
              <w:ind w:left="-107" w:leftChars="-51" w:right="-82" w:rightChars="-39"/>
              <w:jc w:val="center"/>
              <w:rPr>
                <w:rFonts w:hint="default" w:ascii="宋体" w:hAnsi="宋体" w:eastAsia="宋体" w:cs="Times New Roman"/>
                <w:bCs/>
                <w:kern w:val="2"/>
                <w:sz w:val="18"/>
                <w:szCs w:val="18"/>
                <w:lang w:val="en-US" w:eastAsia="zh-CN" w:bidi="ar-SA"/>
              </w:rPr>
            </w:pPr>
            <w:r>
              <w:rPr>
                <w:rFonts w:hint="eastAsia" w:ascii="宋体" w:hAnsi="宋体"/>
                <w:bCs/>
                <w:sz w:val="18"/>
                <w:szCs w:val="18"/>
                <w:lang w:val="en-US" w:eastAsia="zh-CN"/>
              </w:rPr>
              <w:t>34</w:t>
            </w:r>
          </w:p>
        </w:tc>
      </w:tr>
      <w:tr w14:paraId="3264EF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28" w:hRule="atLeast"/>
        </w:trPr>
        <w:tc>
          <w:tcPr>
            <w:tcW w:w="729" w:type="dxa"/>
            <w:tcBorders>
              <w:tl2br w:val="nil"/>
              <w:tr2bl w:val="nil"/>
            </w:tcBorders>
            <w:noWrap w:val="0"/>
            <w:vAlign w:val="center"/>
          </w:tcPr>
          <w:p w14:paraId="4677B992">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2</w:t>
            </w:r>
          </w:p>
        </w:tc>
        <w:tc>
          <w:tcPr>
            <w:tcW w:w="2540" w:type="dxa"/>
            <w:tcBorders>
              <w:tl2br w:val="nil"/>
              <w:tr2bl w:val="nil"/>
            </w:tcBorders>
            <w:noWrap w:val="0"/>
            <w:vAlign w:val="center"/>
          </w:tcPr>
          <w:p w14:paraId="7D7E73B7">
            <w:pPr>
              <w:ind w:left="-105" w:leftChars="-50" w:right="-105" w:rightChars="-50" w:firstLine="104" w:firstLineChars="58"/>
              <w:rPr>
                <w:rFonts w:hint="eastAsia" w:ascii="宋体" w:hAnsi="宋体" w:eastAsia="宋体"/>
                <w:bCs/>
                <w:sz w:val="18"/>
                <w:szCs w:val="18"/>
                <w:lang w:eastAsia="zh-CN"/>
              </w:rPr>
            </w:pPr>
            <w:r>
              <w:rPr>
                <w:rFonts w:hint="eastAsia" w:ascii="宋体" w:hAnsi="宋体"/>
                <w:bCs/>
                <w:sz w:val="18"/>
                <w:szCs w:val="18"/>
              </w:rPr>
              <w:t>对外劳务合作</w:t>
            </w:r>
            <w:r>
              <w:rPr>
                <w:rFonts w:hint="eastAsia" w:ascii="宋体" w:hAnsi="宋体"/>
                <w:bCs/>
                <w:sz w:val="18"/>
                <w:szCs w:val="18"/>
                <w:lang w:eastAsia="zh-CN"/>
              </w:rPr>
              <w:t>项目</w:t>
            </w:r>
            <w:r>
              <w:rPr>
                <w:rFonts w:hint="eastAsia" w:ascii="宋体" w:hAnsi="宋体"/>
                <w:bCs/>
                <w:sz w:val="18"/>
                <w:szCs w:val="18"/>
              </w:rPr>
              <w:t>人员构成</w:t>
            </w:r>
            <w:r>
              <w:rPr>
                <w:rFonts w:hint="eastAsia" w:ascii="宋体" w:hAnsi="宋体"/>
                <w:bCs/>
                <w:sz w:val="18"/>
                <w:szCs w:val="18"/>
                <w:lang w:eastAsia="zh-CN"/>
              </w:rPr>
              <w:t>和变化情况</w:t>
            </w:r>
          </w:p>
        </w:tc>
        <w:tc>
          <w:tcPr>
            <w:tcW w:w="697" w:type="dxa"/>
            <w:tcBorders>
              <w:tl2br w:val="nil"/>
              <w:tr2bl w:val="nil"/>
            </w:tcBorders>
            <w:noWrap w:val="0"/>
            <w:vAlign w:val="center"/>
          </w:tcPr>
          <w:p w14:paraId="750F8D2D">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903" w:type="dxa"/>
            <w:tcBorders>
              <w:tl2br w:val="nil"/>
              <w:tr2bl w:val="nil"/>
            </w:tcBorders>
            <w:noWrap w:val="0"/>
            <w:vAlign w:val="top"/>
          </w:tcPr>
          <w:p w14:paraId="73326B61">
            <w:pPr>
              <w:ind w:left="-107" w:leftChars="-51" w:right="-105" w:rightChars="-50"/>
              <w:jc w:val="center"/>
              <w:rPr>
                <w:rFonts w:ascii="宋体" w:hAnsi="宋体"/>
                <w:bCs/>
                <w:sz w:val="18"/>
                <w:szCs w:val="18"/>
              </w:rPr>
            </w:pPr>
          </w:p>
          <w:p w14:paraId="15A9CDDB">
            <w:pPr>
              <w:ind w:left="-107" w:leftChars="-51" w:right="-105" w:rightChars="-50"/>
              <w:jc w:val="center"/>
              <w:rPr>
                <w:rFonts w:ascii="宋体" w:hAnsi="宋体"/>
                <w:bCs/>
                <w:sz w:val="18"/>
                <w:szCs w:val="18"/>
              </w:rPr>
            </w:pPr>
            <w:r>
              <w:rPr>
                <w:rFonts w:hint="eastAsia" w:ascii="宋体" w:hAnsi="宋体"/>
                <w:bCs/>
                <w:sz w:val="18"/>
                <w:szCs w:val="18"/>
              </w:rPr>
              <w:t>同上</w:t>
            </w:r>
          </w:p>
        </w:tc>
        <w:tc>
          <w:tcPr>
            <w:tcW w:w="1679" w:type="dxa"/>
            <w:tcBorders>
              <w:tl2br w:val="nil"/>
              <w:tr2bl w:val="nil"/>
            </w:tcBorders>
            <w:noWrap w:val="0"/>
            <w:vAlign w:val="center"/>
          </w:tcPr>
          <w:p w14:paraId="1FDE3797">
            <w:pPr>
              <w:ind w:left="-107" w:leftChars="-52" w:right="-107" w:rightChars="-51" w:hanging="2"/>
              <w:jc w:val="center"/>
              <w:rPr>
                <w:rFonts w:ascii="宋体" w:hAnsi="宋体"/>
                <w:bCs/>
                <w:sz w:val="18"/>
                <w:szCs w:val="18"/>
              </w:rPr>
            </w:pPr>
            <w:r>
              <w:rPr>
                <w:rFonts w:hint="eastAsia" w:ascii="宋体" w:hAnsi="宋体"/>
                <w:bCs/>
                <w:sz w:val="18"/>
                <w:szCs w:val="18"/>
              </w:rPr>
              <w:t>同上</w:t>
            </w:r>
          </w:p>
        </w:tc>
        <w:tc>
          <w:tcPr>
            <w:tcW w:w="1498" w:type="dxa"/>
            <w:tcBorders>
              <w:tl2br w:val="nil"/>
              <w:tr2bl w:val="nil"/>
            </w:tcBorders>
            <w:noWrap w:val="0"/>
            <w:vAlign w:val="center"/>
          </w:tcPr>
          <w:p w14:paraId="5542FD18">
            <w:pPr>
              <w:ind w:left="-107" w:leftChars="-51" w:right="-82" w:rightChars="-39"/>
              <w:jc w:val="center"/>
              <w:rPr>
                <w:rFonts w:ascii="宋体" w:hAnsi="宋体"/>
                <w:bCs/>
                <w:sz w:val="18"/>
                <w:szCs w:val="18"/>
              </w:rPr>
            </w:pPr>
            <w:r>
              <w:rPr>
                <w:rFonts w:hint="eastAsia" w:ascii="宋体" w:hAnsi="宋体"/>
                <w:bCs/>
                <w:sz w:val="18"/>
                <w:szCs w:val="18"/>
              </w:rPr>
              <w:t>同上</w:t>
            </w:r>
          </w:p>
        </w:tc>
        <w:tc>
          <w:tcPr>
            <w:tcW w:w="645" w:type="dxa"/>
            <w:tcBorders>
              <w:tl2br w:val="nil"/>
              <w:tr2bl w:val="nil"/>
            </w:tcBorders>
            <w:noWrap w:val="0"/>
            <w:vAlign w:val="center"/>
          </w:tcPr>
          <w:p w14:paraId="5DE97796">
            <w:pPr>
              <w:ind w:left="-107" w:leftChars="-51" w:right="-82" w:rightChars="-39"/>
              <w:jc w:val="center"/>
              <w:rPr>
                <w:rFonts w:hint="default" w:ascii="宋体" w:hAnsi="宋体" w:eastAsia="宋体"/>
                <w:bCs/>
                <w:sz w:val="18"/>
                <w:szCs w:val="18"/>
                <w:lang w:val="en-US" w:eastAsia="zh-CN"/>
              </w:rPr>
            </w:pPr>
            <w:r>
              <w:rPr>
                <w:rFonts w:hint="eastAsia" w:ascii="宋体" w:hAnsi="宋体"/>
                <w:bCs/>
                <w:sz w:val="18"/>
                <w:szCs w:val="18"/>
                <w:lang w:val="en-US" w:eastAsia="zh-CN"/>
              </w:rPr>
              <w:t>35</w:t>
            </w:r>
          </w:p>
        </w:tc>
      </w:tr>
    </w:tbl>
    <w:p w14:paraId="5ADE2FBE">
      <w:pPr>
        <w:rPr>
          <w:rFonts w:ascii="宋体" w:hAnsi="宋体"/>
          <w:sz w:val="18"/>
          <w:szCs w:val="18"/>
        </w:rPr>
      </w:pPr>
    </w:p>
    <w:p w14:paraId="6262C981">
      <w:pPr>
        <w:rPr>
          <w:rFonts w:ascii="宋体" w:hAnsi="宋体"/>
          <w:sz w:val="18"/>
          <w:szCs w:val="18"/>
        </w:rPr>
      </w:pPr>
    </w:p>
    <w:p w14:paraId="43619320">
      <w:pPr>
        <w:rPr>
          <w:rFonts w:ascii="宋体" w:hAnsi="宋体"/>
          <w:sz w:val="18"/>
          <w:szCs w:val="18"/>
        </w:rPr>
      </w:pPr>
    </w:p>
    <w:p w14:paraId="13C28D23">
      <w:pPr>
        <w:rPr>
          <w:rFonts w:ascii="宋体" w:hAnsi="宋体"/>
          <w:sz w:val="18"/>
          <w:szCs w:val="18"/>
        </w:rPr>
      </w:pPr>
    </w:p>
    <w:p w14:paraId="77503A11">
      <w:pPr>
        <w:ind w:right="2005" w:rightChars="955"/>
      </w:pPr>
    </w:p>
    <w:p w14:paraId="7D4C728C">
      <w:pPr>
        <w:ind w:right="2005" w:rightChars="955"/>
      </w:pPr>
    </w:p>
    <w:p w14:paraId="35ECFE67">
      <w:pPr>
        <w:ind w:right="2005" w:rightChars="955"/>
      </w:pPr>
    </w:p>
    <w:p w14:paraId="21FEED5C">
      <w:pPr>
        <w:ind w:right="2005" w:rightChars="955"/>
      </w:pPr>
    </w:p>
    <w:p w14:paraId="3AE23AB3"/>
    <w:p w14:paraId="75FF66D0"/>
    <w:p w14:paraId="357B92BE"/>
    <w:p w14:paraId="14BD901F">
      <w:pPr>
        <w:numPr>
          <w:ilvl w:val="0"/>
          <w:numId w:val="0"/>
        </w:numPr>
        <w:ind w:leftChars="0"/>
        <w:jc w:val="center"/>
        <w:outlineLvl w:val="0"/>
        <w:rPr>
          <w:rFonts w:hint="eastAsia" w:ascii="黑体" w:eastAsia="黑体"/>
          <w:sz w:val="32"/>
          <w:szCs w:val="32"/>
        </w:rPr>
      </w:pPr>
      <w:bookmarkStart w:id="72" w:name="_Toc277618464"/>
      <w:bookmarkStart w:id="73" w:name="_Toc209310710"/>
      <w:bookmarkStart w:id="74" w:name="_Toc3102665"/>
      <w:bookmarkStart w:id="75" w:name="_Toc1165910202"/>
      <w:r>
        <w:rPr>
          <w:rFonts w:hint="eastAsia" w:ascii="黑体" w:eastAsia="黑体"/>
          <w:sz w:val="32"/>
          <w:szCs w:val="32"/>
          <w:lang w:eastAsia="zh-CN"/>
        </w:rPr>
        <w:br w:type="page"/>
      </w:r>
      <w:bookmarkStart w:id="76" w:name="_Toc1280532849"/>
      <w:bookmarkStart w:id="77" w:name="_Toc1864679322"/>
      <w:bookmarkStart w:id="78" w:name="_Toc1180083585"/>
      <w:bookmarkStart w:id="79" w:name="_Toc670198983"/>
      <w:r>
        <w:rPr>
          <w:rFonts w:hint="eastAsia" w:ascii="黑体" w:eastAsia="黑体"/>
          <w:sz w:val="32"/>
          <w:szCs w:val="32"/>
          <w:lang w:eastAsia="zh-CN"/>
        </w:rPr>
        <w:t>三、</w:t>
      </w:r>
      <w:r>
        <w:rPr>
          <w:rFonts w:hint="eastAsia" w:ascii="黑体" w:eastAsia="黑体"/>
          <w:sz w:val="32"/>
          <w:szCs w:val="32"/>
        </w:rPr>
        <w:t>调 查 表 式</w:t>
      </w:r>
      <w:bookmarkEnd w:id="72"/>
      <w:bookmarkEnd w:id="73"/>
      <w:bookmarkEnd w:id="74"/>
      <w:bookmarkEnd w:id="75"/>
      <w:bookmarkEnd w:id="76"/>
      <w:bookmarkEnd w:id="77"/>
      <w:bookmarkEnd w:id="78"/>
      <w:bookmarkEnd w:id="79"/>
      <w:bookmarkStart w:id="80" w:name="_Toc1519985741"/>
      <w:bookmarkStart w:id="81" w:name="_Toc1073825435"/>
      <w:bookmarkStart w:id="82" w:name="_Toc38268624"/>
    </w:p>
    <w:p w14:paraId="0BD27D91">
      <w:pPr>
        <w:numPr>
          <w:ilvl w:val="0"/>
          <w:numId w:val="0"/>
        </w:numPr>
        <w:ind w:leftChars="0"/>
        <w:jc w:val="center"/>
        <w:outlineLvl w:val="1"/>
        <w:rPr>
          <w:rFonts w:ascii="黑体" w:eastAsia="黑体"/>
          <w:sz w:val="32"/>
          <w:szCs w:val="32"/>
        </w:rPr>
      </w:pPr>
      <w:bookmarkStart w:id="83" w:name="_Toc1897851313"/>
      <w:bookmarkStart w:id="84" w:name="_Toc1001569169"/>
      <w:bookmarkStart w:id="85" w:name="_Toc1266802940"/>
      <w:bookmarkStart w:id="86" w:name="_Toc888769046"/>
      <w:r>
        <w:rPr>
          <w:rFonts w:hint="eastAsia" w:ascii="宋体" w:hAnsi="宋体" w:eastAsia="宋体" w:cs="宋体"/>
          <w:i w:val="0"/>
          <w:iCs w:val="0"/>
          <w:color w:val="000000"/>
          <w:kern w:val="0"/>
          <w:sz w:val="32"/>
          <w:szCs w:val="32"/>
          <w:u w:val="none"/>
          <w:lang w:val="en-US" w:eastAsia="zh-CN" w:bidi="ar"/>
        </w:rPr>
        <w:t>对外劳务合作企业经营情况</w:t>
      </w:r>
      <w:bookmarkEnd w:id="80"/>
      <w:bookmarkEnd w:id="81"/>
      <w:bookmarkEnd w:id="82"/>
      <w:bookmarkEnd w:id="83"/>
      <w:bookmarkEnd w:id="84"/>
      <w:bookmarkEnd w:id="85"/>
      <w:bookmarkEnd w:id="86"/>
    </w:p>
    <w:tbl>
      <w:tblPr>
        <w:tblStyle w:val="11"/>
        <w:tblW w:w="9630" w:type="dxa"/>
        <w:tblInd w:w="-5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61"/>
        <w:gridCol w:w="1144"/>
        <w:gridCol w:w="2825"/>
      </w:tblGrid>
      <w:tr w14:paraId="568B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661" w:type="dxa"/>
            <w:tcBorders>
              <w:top w:val="nil"/>
              <w:left w:val="nil"/>
              <w:bottom w:val="nil"/>
              <w:right w:val="nil"/>
            </w:tcBorders>
            <w:noWrap/>
            <w:vAlign w:val="center"/>
          </w:tcPr>
          <w:p w14:paraId="3BE693F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144" w:type="dxa"/>
            <w:tcBorders>
              <w:top w:val="nil"/>
              <w:left w:val="nil"/>
              <w:bottom w:val="nil"/>
              <w:right w:val="nil"/>
            </w:tcBorders>
            <w:noWrap/>
            <w:vAlign w:val="center"/>
          </w:tcPr>
          <w:p w14:paraId="15DAF17D">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28C5436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表    号：LWN表        </w:t>
            </w:r>
          </w:p>
        </w:tc>
      </w:tr>
      <w:tr w14:paraId="792C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805" w:type="dxa"/>
            <w:gridSpan w:val="2"/>
            <w:tcBorders>
              <w:top w:val="nil"/>
              <w:left w:val="nil"/>
              <w:bottom w:val="nil"/>
              <w:right w:val="nil"/>
            </w:tcBorders>
            <w:noWrap/>
            <w:vAlign w:val="center"/>
          </w:tcPr>
          <w:p w14:paraId="5F8E9C65">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5C7FAAD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4DDD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5661" w:type="dxa"/>
            <w:tcBorders>
              <w:top w:val="nil"/>
              <w:left w:val="nil"/>
              <w:bottom w:val="nil"/>
              <w:right w:val="nil"/>
            </w:tcBorders>
            <w:noWrap/>
            <w:vAlign w:val="center"/>
          </w:tcPr>
          <w:p w14:paraId="1CA5216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144" w:type="dxa"/>
            <w:tcBorders>
              <w:top w:val="nil"/>
              <w:left w:val="nil"/>
              <w:bottom w:val="nil"/>
              <w:right w:val="nil"/>
            </w:tcBorders>
            <w:noWrap/>
            <w:vAlign w:val="center"/>
          </w:tcPr>
          <w:p w14:paraId="37F078C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56FAEB5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批准机关：国家统计局</w:t>
            </w:r>
          </w:p>
        </w:tc>
      </w:tr>
      <w:tr w14:paraId="049F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5661" w:type="dxa"/>
            <w:tcBorders>
              <w:top w:val="nil"/>
              <w:left w:val="nil"/>
              <w:bottom w:val="nil"/>
              <w:right w:val="nil"/>
            </w:tcBorders>
            <w:noWrap/>
            <w:vAlign w:val="center"/>
          </w:tcPr>
          <w:p w14:paraId="441959D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144" w:type="dxa"/>
            <w:tcBorders>
              <w:top w:val="nil"/>
              <w:left w:val="nil"/>
              <w:bottom w:val="nil"/>
              <w:right w:val="nil"/>
            </w:tcBorders>
            <w:noWrap/>
            <w:vAlign w:val="center"/>
          </w:tcPr>
          <w:p w14:paraId="6C98F74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3289C507">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47D9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nil"/>
            </w:tcBorders>
            <w:noWrap/>
            <w:vAlign w:val="center"/>
          </w:tcPr>
          <w:p w14:paraId="3B3E857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统一社会信用代码：□□□□□□□□□□□□□□□□□□</w:t>
            </w:r>
          </w:p>
        </w:tc>
        <w:tc>
          <w:tcPr>
            <w:tcW w:w="1144" w:type="dxa"/>
            <w:tcBorders>
              <w:top w:val="nil"/>
              <w:left w:val="nil"/>
              <w:bottom w:val="nil"/>
              <w:right w:val="nil"/>
            </w:tcBorders>
            <w:noWrap/>
            <w:vAlign w:val="center"/>
          </w:tcPr>
          <w:p w14:paraId="329DFCB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05113B88">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75E86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nil"/>
            </w:tcBorders>
            <w:noWrap/>
            <w:vAlign w:val="center"/>
          </w:tcPr>
          <w:p w14:paraId="650917FF">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w:t>
            </w:r>
            <w:r>
              <w:rPr>
                <w:rFonts w:hint="eastAsia" w:ascii="宋体" w:hAnsi="宋体" w:cs="宋体"/>
                <w:i w:val="0"/>
                <w:iCs w:val="0"/>
                <w:color w:val="000000"/>
                <w:kern w:val="0"/>
                <w:sz w:val="18"/>
                <w:szCs w:val="18"/>
                <w:u w:val="none"/>
                <w:lang w:val="en-US" w:eastAsia="zh-CN" w:bidi="ar"/>
              </w:rPr>
              <w:t>所有制</w:t>
            </w:r>
            <w:r>
              <w:rPr>
                <w:rFonts w:hint="eastAsia" w:ascii="宋体" w:hAnsi="宋体" w:eastAsia="宋体" w:cs="宋体"/>
                <w:i w:val="0"/>
                <w:iCs w:val="0"/>
                <w:color w:val="000000"/>
                <w:kern w:val="0"/>
                <w:sz w:val="18"/>
                <w:szCs w:val="18"/>
                <w:u w:val="none"/>
                <w:lang w:val="en-US" w:eastAsia="zh-CN" w:bidi="ar"/>
              </w:rPr>
              <w:t>性质：□ 公有控股经济□非公有控股经济</w:t>
            </w:r>
          </w:p>
        </w:tc>
        <w:tc>
          <w:tcPr>
            <w:tcW w:w="1144" w:type="dxa"/>
            <w:tcBorders>
              <w:top w:val="nil"/>
              <w:left w:val="nil"/>
              <w:bottom w:val="nil"/>
              <w:right w:val="nil"/>
            </w:tcBorders>
            <w:noWrap/>
            <w:vAlign w:val="center"/>
          </w:tcPr>
          <w:p w14:paraId="137FA896">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sz w:val="18"/>
                <w:szCs w:val="18"/>
                <w:u w:val="none"/>
              </w:rPr>
            </w:pPr>
          </w:p>
        </w:tc>
        <w:tc>
          <w:tcPr>
            <w:tcW w:w="2825" w:type="dxa"/>
            <w:tcBorders>
              <w:top w:val="nil"/>
              <w:left w:val="nil"/>
              <w:bottom w:val="nil"/>
              <w:right w:val="nil"/>
            </w:tcBorders>
            <w:noWrap/>
            <w:vAlign w:val="center"/>
          </w:tcPr>
          <w:p w14:paraId="55C2C7F9">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计量单位：人民币万元、人</w:t>
            </w:r>
          </w:p>
        </w:tc>
      </w:tr>
      <w:tr w14:paraId="1ABD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30" w:type="dxa"/>
            <w:gridSpan w:val="3"/>
            <w:tcBorders>
              <w:top w:val="nil"/>
              <w:left w:val="nil"/>
              <w:bottom w:val="single" w:color="auto" w:sz="2" w:space="0"/>
              <w:right w:val="nil"/>
            </w:tcBorders>
            <w:noWrap/>
            <w:vAlign w:val="center"/>
          </w:tcPr>
          <w:p w14:paraId="60198C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 0  　年</w:t>
            </w:r>
          </w:p>
        </w:tc>
      </w:tr>
      <w:tr w14:paraId="1DAC1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single" w:color="auto" w:sz="2" w:space="0"/>
              <w:left w:val="nil"/>
              <w:bottom w:val="single" w:color="auto" w:sz="2" w:space="0"/>
              <w:right w:val="single" w:color="auto" w:sz="2" w:space="0"/>
            </w:tcBorders>
            <w:noWrap w:val="0"/>
            <w:vAlign w:val="center"/>
          </w:tcPr>
          <w:p w14:paraId="64A1B2D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指标</w:t>
            </w:r>
          </w:p>
        </w:tc>
        <w:tc>
          <w:tcPr>
            <w:tcW w:w="1144" w:type="dxa"/>
            <w:tcBorders>
              <w:top w:val="single" w:color="auto" w:sz="2" w:space="0"/>
              <w:left w:val="single" w:color="auto" w:sz="2" w:space="0"/>
              <w:bottom w:val="single" w:color="auto" w:sz="2" w:space="0"/>
              <w:right w:val="single" w:color="auto" w:sz="2" w:space="0"/>
            </w:tcBorders>
            <w:noWrap w:val="0"/>
            <w:vAlign w:val="center"/>
          </w:tcPr>
          <w:p w14:paraId="64DE011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代码</w:t>
            </w:r>
          </w:p>
        </w:tc>
        <w:tc>
          <w:tcPr>
            <w:tcW w:w="2825" w:type="dxa"/>
            <w:tcBorders>
              <w:top w:val="single" w:color="auto" w:sz="2" w:space="0"/>
              <w:left w:val="single" w:color="auto" w:sz="2" w:space="0"/>
              <w:bottom w:val="single" w:color="auto" w:sz="2" w:space="0"/>
              <w:right w:val="nil"/>
            </w:tcBorders>
            <w:noWrap w:val="0"/>
            <w:vAlign w:val="center"/>
          </w:tcPr>
          <w:p w14:paraId="4F82101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数值</w:t>
            </w:r>
          </w:p>
        </w:tc>
      </w:tr>
      <w:tr w14:paraId="06F6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61" w:type="dxa"/>
            <w:tcBorders>
              <w:top w:val="single" w:color="auto" w:sz="2" w:space="0"/>
              <w:left w:val="nil"/>
              <w:bottom w:val="single" w:color="auto" w:sz="2" w:space="0"/>
              <w:right w:val="single" w:color="auto" w:sz="2" w:space="0"/>
            </w:tcBorders>
            <w:noWrap w:val="0"/>
            <w:vAlign w:val="center"/>
          </w:tcPr>
          <w:p w14:paraId="4819B89D">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w:t>
            </w:r>
          </w:p>
        </w:tc>
        <w:tc>
          <w:tcPr>
            <w:tcW w:w="1144" w:type="dxa"/>
            <w:tcBorders>
              <w:top w:val="single" w:color="auto" w:sz="2" w:space="0"/>
              <w:left w:val="single" w:color="auto" w:sz="2" w:space="0"/>
              <w:bottom w:val="single" w:color="auto" w:sz="2" w:space="0"/>
              <w:right w:val="single" w:color="auto" w:sz="2" w:space="0"/>
            </w:tcBorders>
            <w:noWrap w:val="0"/>
            <w:vAlign w:val="center"/>
          </w:tcPr>
          <w:p w14:paraId="1F08ABE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cs="宋体"/>
                <w:b w:val="0"/>
                <w:bCs w:val="0"/>
                <w:i w:val="0"/>
                <w:iCs w:val="0"/>
                <w:color w:val="000000"/>
                <w:kern w:val="0"/>
                <w:sz w:val="18"/>
                <w:szCs w:val="18"/>
                <w:u w:val="none"/>
                <w:lang w:val="en-US" w:eastAsia="zh-CN" w:bidi="ar"/>
              </w:rPr>
              <w:t>乙</w:t>
            </w:r>
          </w:p>
        </w:tc>
        <w:tc>
          <w:tcPr>
            <w:tcW w:w="2825" w:type="dxa"/>
            <w:tcBorders>
              <w:top w:val="single" w:color="auto" w:sz="2" w:space="0"/>
              <w:left w:val="single" w:color="auto" w:sz="2" w:space="0"/>
              <w:bottom w:val="single" w:color="auto" w:sz="2" w:space="0"/>
              <w:right w:val="nil"/>
            </w:tcBorders>
            <w:noWrap w:val="0"/>
            <w:vAlign w:val="center"/>
          </w:tcPr>
          <w:p w14:paraId="03DBB200">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r>
      <w:tr w14:paraId="2D8B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single" w:color="auto" w:sz="2" w:space="0"/>
              <w:left w:val="nil"/>
              <w:bottom w:val="nil"/>
              <w:right w:val="single" w:color="auto" w:sz="2" w:space="0"/>
            </w:tcBorders>
            <w:noWrap w:val="0"/>
            <w:vAlign w:val="center"/>
          </w:tcPr>
          <w:p w14:paraId="1EED24AB">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资产总计</w:t>
            </w:r>
          </w:p>
        </w:tc>
        <w:tc>
          <w:tcPr>
            <w:tcW w:w="1144" w:type="dxa"/>
            <w:tcBorders>
              <w:top w:val="single" w:color="auto" w:sz="2" w:space="0"/>
              <w:left w:val="single" w:color="auto" w:sz="2" w:space="0"/>
              <w:bottom w:val="nil"/>
              <w:right w:val="single" w:color="auto" w:sz="2" w:space="0"/>
            </w:tcBorders>
            <w:noWrap w:val="0"/>
            <w:vAlign w:val="center"/>
          </w:tcPr>
          <w:p w14:paraId="620903A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2825" w:type="dxa"/>
            <w:tcBorders>
              <w:top w:val="single" w:color="auto" w:sz="2" w:space="0"/>
              <w:left w:val="single" w:color="auto" w:sz="2" w:space="0"/>
              <w:bottom w:val="nil"/>
              <w:right w:val="nil"/>
            </w:tcBorders>
            <w:noWrap w:val="0"/>
            <w:vAlign w:val="center"/>
          </w:tcPr>
          <w:p w14:paraId="61C7120B">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6EEF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6E2DDE5C">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负债</w:t>
            </w:r>
            <w:r>
              <w:rPr>
                <w:rFonts w:hint="eastAsia" w:ascii="宋体" w:hAnsi="宋体" w:cs="宋体"/>
                <w:b w:val="0"/>
                <w:bCs w:val="0"/>
                <w:i w:val="0"/>
                <w:iCs w:val="0"/>
                <w:color w:val="000000"/>
                <w:kern w:val="0"/>
                <w:sz w:val="18"/>
                <w:szCs w:val="18"/>
                <w:u w:val="none"/>
                <w:lang w:val="en-US" w:eastAsia="zh-CN" w:bidi="ar"/>
              </w:rPr>
              <w:t>合</w:t>
            </w:r>
            <w:r>
              <w:rPr>
                <w:rFonts w:hint="eastAsia" w:ascii="宋体" w:hAnsi="宋体" w:eastAsia="宋体" w:cs="宋体"/>
                <w:b w:val="0"/>
                <w:bCs w:val="0"/>
                <w:i w:val="0"/>
                <w:iCs w:val="0"/>
                <w:color w:val="000000"/>
                <w:kern w:val="0"/>
                <w:sz w:val="18"/>
                <w:szCs w:val="18"/>
                <w:u w:val="none"/>
                <w:lang w:val="en-US" w:eastAsia="zh-CN" w:bidi="ar"/>
              </w:rPr>
              <w:t>计</w:t>
            </w:r>
          </w:p>
        </w:tc>
        <w:tc>
          <w:tcPr>
            <w:tcW w:w="1144" w:type="dxa"/>
            <w:tcBorders>
              <w:top w:val="nil"/>
              <w:left w:val="single" w:color="auto" w:sz="2" w:space="0"/>
              <w:bottom w:val="nil"/>
              <w:right w:val="single" w:color="auto" w:sz="2" w:space="0"/>
            </w:tcBorders>
            <w:noWrap w:val="0"/>
            <w:vAlign w:val="center"/>
          </w:tcPr>
          <w:p w14:paraId="069D1C8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w:t>
            </w:r>
          </w:p>
        </w:tc>
        <w:tc>
          <w:tcPr>
            <w:tcW w:w="2825" w:type="dxa"/>
            <w:tcBorders>
              <w:top w:val="nil"/>
              <w:left w:val="single" w:color="auto" w:sz="2" w:space="0"/>
              <w:bottom w:val="nil"/>
              <w:right w:val="nil"/>
            </w:tcBorders>
            <w:noWrap w:val="0"/>
            <w:vAlign w:val="center"/>
          </w:tcPr>
          <w:p w14:paraId="49E4BF64">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5A82B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6922E2A7">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所有者权益合计</w:t>
            </w:r>
          </w:p>
        </w:tc>
        <w:tc>
          <w:tcPr>
            <w:tcW w:w="1144" w:type="dxa"/>
            <w:tcBorders>
              <w:top w:val="nil"/>
              <w:left w:val="single" w:color="auto" w:sz="2" w:space="0"/>
              <w:bottom w:val="nil"/>
              <w:right w:val="single" w:color="auto" w:sz="2" w:space="0"/>
            </w:tcBorders>
            <w:noWrap w:val="0"/>
            <w:vAlign w:val="center"/>
          </w:tcPr>
          <w:p w14:paraId="649F0484">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w:t>
            </w:r>
          </w:p>
        </w:tc>
        <w:tc>
          <w:tcPr>
            <w:tcW w:w="2825" w:type="dxa"/>
            <w:tcBorders>
              <w:top w:val="nil"/>
              <w:left w:val="single" w:color="auto" w:sz="2" w:space="0"/>
              <w:bottom w:val="nil"/>
              <w:right w:val="nil"/>
            </w:tcBorders>
            <w:noWrap w:val="0"/>
            <w:vAlign w:val="center"/>
          </w:tcPr>
          <w:p w14:paraId="23B3C160">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0859F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61372577">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营业收入总额</w:t>
            </w:r>
          </w:p>
        </w:tc>
        <w:tc>
          <w:tcPr>
            <w:tcW w:w="1144" w:type="dxa"/>
            <w:tcBorders>
              <w:top w:val="nil"/>
              <w:left w:val="single" w:color="auto" w:sz="2" w:space="0"/>
              <w:bottom w:val="nil"/>
              <w:right w:val="single" w:color="auto" w:sz="2" w:space="0"/>
            </w:tcBorders>
            <w:noWrap w:val="0"/>
            <w:vAlign w:val="center"/>
          </w:tcPr>
          <w:p w14:paraId="57CF0AD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w:t>
            </w:r>
          </w:p>
        </w:tc>
        <w:tc>
          <w:tcPr>
            <w:tcW w:w="2825" w:type="dxa"/>
            <w:tcBorders>
              <w:top w:val="nil"/>
              <w:left w:val="single" w:color="auto" w:sz="2" w:space="0"/>
              <w:bottom w:val="nil"/>
              <w:right w:val="nil"/>
            </w:tcBorders>
            <w:noWrap w:val="0"/>
            <w:vAlign w:val="center"/>
          </w:tcPr>
          <w:p w14:paraId="0A92C15D">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0D8E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65D51A4D">
            <w:pPr>
              <w:keepNext w:val="0"/>
              <w:keepLines w:val="0"/>
              <w:pageBreakBefore w:val="0"/>
              <w:widowControl/>
              <w:suppressLineNumbers w:val="0"/>
              <w:kinsoku/>
              <w:wordWrap/>
              <w:overflowPunct/>
              <w:topLinePunct w:val="0"/>
              <w:autoSpaceDE/>
              <w:autoSpaceDN/>
              <w:bidi w:val="0"/>
              <w:adjustRightInd w:val="0"/>
              <w:snapToGrid w:val="0"/>
              <w:spacing w:line="280" w:lineRule="exact"/>
              <w:ind w:firstLine="360" w:firstLineChars="20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其中</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对外劳务合作业务营收总额</w:t>
            </w:r>
          </w:p>
        </w:tc>
        <w:tc>
          <w:tcPr>
            <w:tcW w:w="1144" w:type="dxa"/>
            <w:tcBorders>
              <w:top w:val="nil"/>
              <w:left w:val="single" w:color="auto" w:sz="2" w:space="0"/>
              <w:bottom w:val="nil"/>
              <w:right w:val="single" w:color="auto" w:sz="2" w:space="0"/>
            </w:tcBorders>
            <w:noWrap w:val="0"/>
            <w:vAlign w:val="center"/>
          </w:tcPr>
          <w:p w14:paraId="1BBB8D6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5</w:t>
            </w:r>
          </w:p>
        </w:tc>
        <w:tc>
          <w:tcPr>
            <w:tcW w:w="2825" w:type="dxa"/>
            <w:tcBorders>
              <w:top w:val="nil"/>
              <w:left w:val="single" w:color="auto" w:sz="2" w:space="0"/>
              <w:bottom w:val="nil"/>
              <w:right w:val="nil"/>
            </w:tcBorders>
            <w:noWrap w:val="0"/>
            <w:vAlign w:val="center"/>
          </w:tcPr>
          <w:p w14:paraId="5CAA52A1">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1DCDE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5706FB35">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当年利润总额</w:t>
            </w:r>
          </w:p>
        </w:tc>
        <w:tc>
          <w:tcPr>
            <w:tcW w:w="1144" w:type="dxa"/>
            <w:tcBorders>
              <w:top w:val="nil"/>
              <w:left w:val="single" w:color="auto" w:sz="2" w:space="0"/>
              <w:bottom w:val="nil"/>
              <w:right w:val="single" w:color="auto" w:sz="2" w:space="0"/>
            </w:tcBorders>
            <w:noWrap w:val="0"/>
            <w:vAlign w:val="center"/>
          </w:tcPr>
          <w:p w14:paraId="516884F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6</w:t>
            </w:r>
          </w:p>
        </w:tc>
        <w:tc>
          <w:tcPr>
            <w:tcW w:w="2825" w:type="dxa"/>
            <w:tcBorders>
              <w:top w:val="nil"/>
              <w:left w:val="single" w:color="auto" w:sz="2" w:space="0"/>
              <w:bottom w:val="nil"/>
              <w:right w:val="nil"/>
            </w:tcBorders>
            <w:noWrap w:val="0"/>
            <w:vAlign w:val="center"/>
          </w:tcPr>
          <w:p w14:paraId="3C6A8816">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492DB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510565A8">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年末</w:t>
            </w:r>
            <w:r>
              <w:rPr>
                <w:rFonts w:hint="eastAsia" w:ascii="宋体" w:hAnsi="宋体" w:eastAsia="宋体" w:cs="宋体"/>
                <w:b w:val="0"/>
                <w:bCs w:val="0"/>
                <w:i w:val="0"/>
                <w:iCs w:val="0"/>
                <w:color w:val="000000"/>
                <w:kern w:val="0"/>
                <w:sz w:val="18"/>
                <w:szCs w:val="18"/>
                <w:highlight w:val="none"/>
                <w:u w:val="none"/>
                <w:lang w:val="en-US" w:eastAsia="zh-CN" w:bidi="ar"/>
              </w:rPr>
              <w:t>员工</w:t>
            </w:r>
            <w:r>
              <w:rPr>
                <w:rFonts w:hint="eastAsia" w:ascii="宋体" w:hAnsi="宋体" w:eastAsia="宋体" w:cs="宋体"/>
                <w:b w:val="0"/>
                <w:bCs w:val="0"/>
                <w:i w:val="0"/>
                <w:iCs w:val="0"/>
                <w:color w:val="000000"/>
                <w:kern w:val="0"/>
                <w:sz w:val="18"/>
                <w:szCs w:val="18"/>
                <w:u w:val="none"/>
                <w:lang w:val="en-US" w:eastAsia="zh-CN" w:bidi="ar"/>
              </w:rPr>
              <w:t>数量</w:t>
            </w:r>
          </w:p>
        </w:tc>
        <w:tc>
          <w:tcPr>
            <w:tcW w:w="1144" w:type="dxa"/>
            <w:tcBorders>
              <w:top w:val="nil"/>
              <w:left w:val="single" w:color="auto" w:sz="2" w:space="0"/>
              <w:bottom w:val="nil"/>
              <w:right w:val="single" w:color="auto" w:sz="2" w:space="0"/>
            </w:tcBorders>
            <w:noWrap w:val="0"/>
            <w:vAlign w:val="center"/>
          </w:tcPr>
          <w:p w14:paraId="752CC7D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7</w:t>
            </w:r>
          </w:p>
        </w:tc>
        <w:tc>
          <w:tcPr>
            <w:tcW w:w="2825" w:type="dxa"/>
            <w:tcBorders>
              <w:top w:val="nil"/>
              <w:left w:val="single" w:color="auto" w:sz="2" w:space="0"/>
              <w:bottom w:val="nil"/>
              <w:right w:val="nil"/>
            </w:tcBorders>
            <w:noWrap w:val="0"/>
            <w:vAlign w:val="center"/>
          </w:tcPr>
          <w:p w14:paraId="2DC553DD">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4A9D9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64C51740">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培训支出</w:t>
            </w:r>
          </w:p>
        </w:tc>
        <w:tc>
          <w:tcPr>
            <w:tcW w:w="1144" w:type="dxa"/>
            <w:tcBorders>
              <w:top w:val="nil"/>
              <w:left w:val="single" w:color="auto" w:sz="2" w:space="0"/>
              <w:bottom w:val="nil"/>
              <w:right w:val="single" w:color="auto" w:sz="2" w:space="0"/>
            </w:tcBorders>
            <w:noWrap w:val="0"/>
            <w:vAlign w:val="center"/>
          </w:tcPr>
          <w:p w14:paraId="4033927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8</w:t>
            </w:r>
          </w:p>
        </w:tc>
        <w:tc>
          <w:tcPr>
            <w:tcW w:w="2825" w:type="dxa"/>
            <w:tcBorders>
              <w:top w:val="nil"/>
              <w:left w:val="single" w:color="auto" w:sz="2" w:space="0"/>
              <w:bottom w:val="nil"/>
              <w:right w:val="nil"/>
            </w:tcBorders>
            <w:noWrap w:val="0"/>
            <w:vAlign w:val="center"/>
          </w:tcPr>
          <w:p w14:paraId="5E832263">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351C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single" w:color="auto" w:sz="4" w:space="0"/>
              <w:right w:val="single" w:color="auto" w:sz="2" w:space="0"/>
            </w:tcBorders>
            <w:noWrap w:val="0"/>
            <w:vAlign w:val="center"/>
          </w:tcPr>
          <w:p w14:paraId="39647D52">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为境外劳务人员缴纳各类保险费用支出</w:t>
            </w:r>
          </w:p>
        </w:tc>
        <w:tc>
          <w:tcPr>
            <w:tcW w:w="1144" w:type="dxa"/>
            <w:tcBorders>
              <w:top w:val="nil"/>
              <w:left w:val="single" w:color="auto" w:sz="2" w:space="0"/>
              <w:bottom w:val="single" w:color="auto" w:sz="4" w:space="0"/>
              <w:right w:val="single" w:color="auto" w:sz="2" w:space="0"/>
            </w:tcBorders>
            <w:noWrap w:val="0"/>
            <w:vAlign w:val="center"/>
          </w:tcPr>
          <w:p w14:paraId="58E9180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lang w:val="en-US" w:eastAsia="zh-CN"/>
              </w:rPr>
            </w:pPr>
            <w:r>
              <w:rPr>
                <w:rFonts w:hint="eastAsia" w:ascii="宋体" w:hAnsi="宋体" w:cs="宋体"/>
                <w:b w:val="0"/>
                <w:bCs w:val="0"/>
                <w:i w:val="0"/>
                <w:iCs w:val="0"/>
                <w:color w:val="000000"/>
                <w:sz w:val="18"/>
                <w:szCs w:val="18"/>
                <w:u w:val="none"/>
                <w:lang w:val="en-US" w:eastAsia="zh-CN"/>
              </w:rPr>
              <w:t>9</w:t>
            </w:r>
          </w:p>
        </w:tc>
        <w:tc>
          <w:tcPr>
            <w:tcW w:w="2825" w:type="dxa"/>
            <w:tcBorders>
              <w:top w:val="nil"/>
              <w:left w:val="single" w:color="auto" w:sz="2" w:space="0"/>
              <w:bottom w:val="single" w:color="auto" w:sz="4" w:space="0"/>
              <w:right w:val="nil"/>
            </w:tcBorders>
            <w:noWrap w:val="0"/>
            <w:vAlign w:val="center"/>
          </w:tcPr>
          <w:p w14:paraId="6D608475">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01E9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30" w:type="dxa"/>
            <w:gridSpan w:val="3"/>
            <w:tcBorders>
              <w:top w:val="single" w:color="auto" w:sz="4" w:space="0"/>
              <w:left w:val="nil"/>
              <w:bottom w:val="nil"/>
              <w:right w:val="nil"/>
            </w:tcBorders>
            <w:noWrap/>
            <w:vAlign w:val="center"/>
          </w:tcPr>
          <w:p w14:paraId="1F44C368">
            <w:pPr>
              <w:keepNext w:val="0"/>
              <w:keepLines w:val="0"/>
              <w:widowControl/>
              <w:suppressLineNumbers w:val="0"/>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填报人：　　 　单位负责人：　　　　　　联系电话：　　　                 　报出日期：2 0　年　月　日</w:t>
            </w:r>
          </w:p>
        </w:tc>
      </w:tr>
      <w:tr w14:paraId="0545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3" w:hRule="atLeast"/>
        </w:trPr>
        <w:tc>
          <w:tcPr>
            <w:tcW w:w="9630" w:type="dxa"/>
            <w:gridSpan w:val="3"/>
            <w:tcBorders>
              <w:top w:val="nil"/>
              <w:left w:val="nil"/>
              <w:bottom w:val="nil"/>
              <w:right w:val="nil"/>
            </w:tcBorders>
            <w:noWrap w:val="0"/>
            <w:vAlign w:val="center"/>
          </w:tcPr>
          <w:p w14:paraId="234A9ADD">
            <w:pPr>
              <w:keepNext w:val="0"/>
              <w:keepLines w:val="0"/>
              <w:widowControl/>
              <w:suppressLineNumbers w:val="0"/>
              <w:ind w:left="540" w:hanging="540" w:hangingChars="30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说明：1.本表反映报告年度对外劳务合作企业经营基本情况。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2.本表由对外劳务合作企业于年后5月</w:t>
            </w:r>
            <w:r>
              <w:rPr>
                <w:rFonts w:hint="eastAsia" w:ascii="宋体" w:hAnsi="宋体" w:cs="宋体"/>
                <w:i w:val="0"/>
                <w:iCs w:val="0"/>
                <w:color w:val="000000"/>
                <w:kern w:val="0"/>
                <w:sz w:val="18"/>
                <w:szCs w:val="18"/>
                <w:u w:val="none"/>
                <w:lang w:val="en-US" w:eastAsia="zh-CN" w:bidi="ar"/>
              </w:rPr>
              <w:t>31</w:t>
            </w:r>
            <w:r>
              <w:rPr>
                <w:rFonts w:hint="eastAsia" w:ascii="宋体" w:hAnsi="宋体" w:eastAsia="宋体" w:cs="宋体"/>
                <w:i w:val="0"/>
                <w:iCs w:val="0"/>
                <w:color w:val="000000"/>
                <w:kern w:val="0"/>
                <w:sz w:val="18"/>
                <w:szCs w:val="18"/>
                <w:u w:val="none"/>
                <w:lang w:val="en-US" w:eastAsia="zh-CN" w:bidi="ar"/>
              </w:rPr>
              <w:t>日前报当地省级商务主管部门。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统一社会信用代码：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已经领取了统一社会信用代码的法人单位和产业活动单位必须填写统一社会信用代码。在填写时，要按照《营业执照》（证书）上的统一社会信用代码填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4.企业所有制性质（见附录</w:t>
            </w:r>
            <w:r>
              <w:rPr>
                <w:rFonts w:hint="eastAsia" w:ascii="宋体" w:hAnsi="宋体" w:cs="宋体"/>
                <w:i w:val="0"/>
                <w:iCs w:val="0"/>
                <w:color w:val="000000"/>
                <w:kern w:val="0"/>
                <w:sz w:val="18"/>
                <w:szCs w:val="18"/>
                <w:u w:val="none"/>
                <w:lang w:val="en-US" w:eastAsia="zh-CN" w:bidi="ar"/>
              </w:rPr>
              <w:t>一</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.资产总计、负债合计、所有者权益合计：分别</w:t>
            </w:r>
            <w:r>
              <w:rPr>
                <w:rFonts w:hint="eastAsia" w:ascii="宋体" w:hAnsi="宋体" w:cs="宋体"/>
                <w:i w:val="0"/>
                <w:iCs w:val="0"/>
                <w:color w:val="000000"/>
                <w:kern w:val="0"/>
                <w:sz w:val="18"/>
                <w:szCs w:val="18"/>
                <w:u w:val="none"/>
                <w:lang w:val="en-US" w:eastAsia="zh-CN" w:bidi="ar"/>
              </w:rPr>
              <w:t>根据</w:t>
            </w:r>
            <w:r>
              <w:rPr>
                <w:rFonts w:hint="eastAsia" w:ascii="宋体" w:hAnsi="宋体" w:eastAsia="宋体" w:cs="宋体"/>
                <w:i w:val="0"/>
                <w:iCs w:val="0"/>
                <w:color w:val="000000"/>
                <w:kern w:val="0"/>
                <w:sz w:val="18"/>
                <w:szCs w:val="18"/>
                <w:u w:val="none"/>
                <w:lang w:val="en-US" w:eastAsia="zh-CN" w:bidi="ar"/>
              </w:rPr>
              <w:t>填报</w:t>
            </w:r>
            <w:r>
              <w:rPr>
                <w:rFonts w:hint="eastAsia" w:ascii="宋体" w:hAnsi="宋体" w:cs="宋体"/>
                <w:i w:val="0"/>
                <w:iCs w:val="0"/>
                <w:color w:val="000000"/>
                <w:kern w:val="0"/>
                <w:sz w:val="18"/>
                <w:szCs w:val="18"/>
                <w:u w:val="none"/>
                <w:lang w:val="en-US" w:eastAsia="zh-CN" w:bidi="ar"/>
              </w:rPr>
              <w:t>单位企业</w:t>
            </w:r>
            <w:r>
              <w:rPr>
                <w:rFonts w:hint="eastAsia" w:ascii="宋体" w:hAnsi="宋体" w:eastAsia="宋体" w:cs="宋体"/>
                <w:i w:val="0"/>
                <w:iCs w:val="0"/>
                <w:color w:val="000000"/>
                <w:kern w:val="0"/>
                <w:sz w:val="18"/>
                <w:szCs w:val="18"/>
                <w:u w:val="none"/>
                <w:lang w:val="en-US" w:eastAsia="zh-CN" w:bidi="ar"/>
              </w:rPr>
              <w:t>年终</w:t>
            </w:r>
            <w:r>
              <w:rPr>
                <w:rFonts w:hint="eastAsia" w:ascii="宋体" w:hAnsi="宋体" w:cs="宋体"/>
                <w:i w:val="0"/>
                <w:iCs w:val="0"/>
                <w:color w:val="000000"/>
                <w:kern w:val="0"/>
                <w:sz w:val="18"/>
                <w:szCs w:val="18"/>
                <w:u w:val="none"/>
                <w:lang w:val="en-US" w:eastAsia="zh-CN" w:bidi="ar"/>
              </w:rPr>
              <w:t>会计报表“</w:t>
            </w:r>
            <w:r>
              <w:rPr>
                <w:rFonts w:hint="eastAsia" w:ascii="宋体" w:hAnsi="宋体" w:eastAsia="宋体" w:cs="宋体"/>
                <w:i w:val="0"/>
                <w:iCs w:val="0"/>
                <w:color w:val="000000"/>
                <w:kern w:val="0"/>
                <w:sz w:val="18"/>
                <w:szCs w:val="18"/>
                <w:u w:val="none"/>
                <w:lang w:val="en-US" w:eastAsia="zh-CN" w:bidi="ar"/>
              </w:rPr>
              <w:t>资产负债表</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中“资产总计”“负债合计”“所有者权益合计”项目的年末数填列。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.营业收入总额、当年利润总额：分别根据填报</w:t>
            </w:r>
            <w:r>
              <w:rPr>
                <w:rFonts w:hint="eastAsia" w:ascii="宋体" w:hAnsi="宋体" w:cs="宋体"/>
                <w:i w:val="0"/>
                <w:iCs w:val="0"/>
                <w:color w:val="000000"/>
                <w:kern w:val="0"/>
                <w:sz w:val="18"/>
                <w:szCs w:val="18"/>
                <w:u w:val="none"/>
                <w:lang w:val="en-US" w:eastAsia="zh-CN" w:bidi="ar"/>
              </w:rPr>
              <w:t>单位</w:t>
            </w:r>
            <w:r>
              <w:rPr>
                <w:rFonts w:hint="eastAsia" w:ascii="宋体" w:hAnsi="宋体" w:eastAsia="宋体" w:cs="宋体"/>
                <w:i w:val="0"/>
                <w:iCs w:val="0"/>
                <w:color w:val="000000"/>
                <w:kern w:val="0"/>
                <w:sz w:val="18"/>
                <w:szCs w:val="18"/>
                <w:u w:val="none"/>
                <w:lang w:val="en-US" w:eastAsia="zh-CN" w:bidi="ar"/>
              </w:rPr>
              <w:t>企业年终会计报表“损益表”中“营业收入总额”“当年利润总额”项目的数值填列。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7</w:t>
            </w:r>
            <w:r>
              <w:rPr>
                <w:rFonts w:hint="eastAsia" w:ascii="宋体" w:hAnsi="宋体" w:eastAsia="宋体" w:cs="宋体"/>
                <w:i w:val="0"/>
                <w:iCs w:val="0"/>
                <w:color w:val="000000"/>
                <w:kern w:val="0"/>
                <w:sz w:val="18"/>
                <w:szCs w:val="18"/>
                <w:u w:val="none"/>
                <w:lang w:val="en-US" w:eastAsia="zh-CN" w:bidi="ar"/>
              </w:rPr>
              <w:t>.年末员工数量：是指年末本企业所有登记在册的从业人员数量之和。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.培训支出：指填报单位报告年度用于外派劳务人员的各类培训支出总和。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9</w:t>
            </w:r>
            <w:r>
              <w:rPr>
                <w:rFonts w:hint="eastAsia" w:ascii="宋体" w:hAnsi="宋体" w:eastAsia="宋体" w:cs="宋体"/>
                <w:i w:val="0"/>
                <w:iCs w:val="0"/>
                <w:color w:val="000000"/>
                <w:kern w:val="0"/>
                <w:sz w:val="18"/>
                <w:szCs w:val="18"/>
                <w:u w:val="none"/>
                <w:lang w:val="en-US" w:eastAsia="zh-CN" w:bidi="ar"/>
              </w:rPr>
              <w:t>.为境外劳务人员缴纳各类保险费用支出：指填报单位报告年度为开展对外劳务合作业务为外派劳务人员缴纳的各类保险费用支出。</w:t>
            </w:r>
          </w:p>
        </w:tc>
      </w:tr>
    </w:tbl>
    <w:p w14:paraId="1BF7A810">
      <w:pPr>
        <w:numPr>
          <w:ilvl w:val="0"/>
          <w:numId w:val="0"/>
        </w:numPr>
        <w:ind w:leftChars="0"/>
        <w:jc w:val="center"/>
        <w:outlineLvl w:val="1"/>
        <w:rPr>
          <w:rFonts w:hint="eastAsia" w:ascii="宋体" w:hAnsi="宋体" w:eastAsia="宋体" w:cs="宋体"/>
          <w:i w:val="0"/>
          <w:iCs w:val="0"/>
          <w:color w:val="000000"/>
          <w:kern w:val="0"/>
          <w:sz w:val="32"/>
          <w:szCs w:val="32"/>
          <w:u w:val="none"/>
          <w:lang w:val="en-US" w:eastAsia="zh-CN" w:bidi="ar"/>
        </w:rPr>
      </w:pPr>
      <w:bookmarkStart w:id="87" w:name="_Toc1396015460"/>
      <w:r>
        <w:rPr>
          <w:rFonts w:hint="eastAsia" w:ascii="宋体" w:hAnsi="宋体" w:eastAsia="宋体" w:cs="宋体"/>
          <w:i w:val="0"/>
          <w:iCs w:val="0"/>
          <w:color w:val="000000"/>
          <w:kern w:val="0"/>
          <w:sz w:val="32"/>
          <w:szCs w:val="32"/>
          <w:u w:val="none"/>
          <w:lang w:val="en-US" w:eastAsia="zh-CN" w:bidi="ar"/>
        </w:rPr>
        <w:br w:type="page"/>
      </w:r>
      <w:bookmarkStart w:id="88" w:name="_Toc1552727224"/>
      <w:bookmarkStart w:id="89" w:name="_Toc1174710064"/>
      <w:bookmarkStart w:id="90" w:name="_Toc667259350"/>
      <w:r>
        <w:rPr>
          <w:rFonts w:hint="eastAsia" w:ascii="宋体" w:hAnsi="宋体" w:eastAsia="宋体" w:cs="宋体"/>
          <w:i w:val="0"/>
          <w:iCs w:val="0"/>
          <w:color w:val="000000"/>
          <w:kern w:val="0"/>
          <w:sz w:val="32"/>
          <w:szCs w:val="32"/>
          <w:u w:val="none"/>
          <w:lang w:val="en-US" w:eastAsia="zh-CN" w:bidi="ar"/>
        </w:rPr>
        <w:t>对外劳务合作项目明细</w:t>
      </w:r>
      <w:bookmarkEnd w:id="87"/>
      <w:bookmarkEnd w:id="88"/>
      <w:bookmarkEnd w:id="89"/>
      <w:bookmarkEnd w:id="90"/>
    </w:p>
    <w:tbl>
      <w:tblPr>
        <w:tblStyle w:val="11"/>
        <w:tblW w:w="9522" w:type="dxa"/>
        <w:tblInd w:w="-4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3"/>
        <w:gridCol w:w="1147"/>
        <w:gridCol w:w="836"/>
        <w:gridCol w:w="637"/>
        <w:gridCol w:w="586"/>
        <w:gridCol w:w="1175"/>
        <w:gridCol w:w="1000"/>
        <w:gridCol w:w="1145"/>
        <w:gridCol w:w="938"/>
        <w:gridCol w:w="925"/>
      </w:tblGrid>
      <w:tr w14:paraId="5DB7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14" w:type="dxa"/>
            <w:gridSpan w:val="6"/>
            <w:tcBorders>
              <w:top w:val="nil"/>
              <w:left w:val="nil"/>
              <w:bottom w:val="nil"/>
              <w:right w:val="nil"/>
            </w:tcBorders>
            <w:noWrap/>
            <w:vAlign w:val="center"/>
          </w:tcPr>
          <w:p w14:paraId="2E06ECC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37664417">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1D24F4D2">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表    号：LW1表        </w:t>
            </w:r>
          </w:p>
        </w:tc>
      </w:tr>
      <w:tr w14:paraId="1F019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6FC043B5">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1B4C8DA7">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71D9177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4F1F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18EFD77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22CD57C8">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7052CB38">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批准机关：国家统计局</w:t>
            </w:r>
          </w:p>
        </w:tc>
      </w:tr>
      <w:tr w14:paraId="33E8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4060CF1A">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3C7EF793">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0FA682B5">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64BE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1DAB19B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000" w:type="dxa"/>
            <w:tcBorders>
              <w:top w:val="nil"/>
              <w:left w:val="nil"/>
              <w:bottom w:val="nil"/>
              <w:right w:val="nil"/>
            </w:tcBorders>
            <w:noWrap/>
            <w:vAlign w:val="center"/>
          </w:tcPr>
          <w:p w14:paraId="7D483611">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3286A4EA">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78DA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14" w:type="dxa"/>
            <w:gridSpan w:val="6"/>
            <w:tcBorders>
              <w:top w:val="nil"/>
              <w:left w:val="nil"/>
              <w:bottom w:val="nil"/>
              <w:right w:val="nil"/>
            </w:tcBorders>
            <w:noWrap/>
            <w:vAlign w:val="center"/>
          </w:tcPr>
          <w:p w14:paraId="264C176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统一社会信用代码：□□□□□□□□□□□□□□□□□□</w:t>
            </w:r>
          </w:p>
        </w:tc>
        <w:tc>
          <w:tcPr>
            <w:tcW w:w="1000" w:type="dxa"/>
            <w:tcBorders>
              <w:top w:val="nil"/>
              <w:left w:val="nil"/>
              <w:bottom w:val="nil"/>
              <w:right w:val="nil"/>
            </w:tcBorders>
            <w:noWrap/>
            <w:vAlign w:val="center"/>
          </w:tcPr>
          <w:p w14:paraId="67B47965">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516F6FE3">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计量单位：万美元、美元、人</w:t>
            </w:r>
          </w:p>
        </w:tc>
      </w:tr>
      <w:tr w14:paraId="29A6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522" w:type="dxa"/>
            <w:gridSpan w:val="10"/>
            <w:tcBorders>
              <w:top w:val="nil"/>
              <w:left w:val="nil"/>
              <w:bottom w:val="nil"/>
              <w:right w:val="nil"/>
            </w:tcBorders>
            <w:noWrap/>
            <w:vAlign w:val="center"/>
          </w:tcPr>
          <w:p w14:paraId="2DBBF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 0  　年   月</w:t>
            </w:r>
          </w:p>
        </w:tc>
      </w:tr>
      <w:tr w14:paraId="7FEA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133" w:type="dxa"/>
            <w:tcBorders>
              <w:top w:val="single" w:color="000000" w:sz="8" w:space="0"/>
              <w:left w:val="nil"/>
              <w:bottom w:val="single" w:color="000000" w:sz="8" w:space="0"/>
              <w:right w:val="single" w:color="000000" w:sz="8" w:space="0"/>
              <w:tl2br w:val="single" w:color="000000" w:sz="2" w:space="0"/>
            </w:tcBorders>
            <w:noWrap w:val="0"/>
            <w:vAlign w:val="center"/>
          </w:tcPr>
          <w:p w14:paraId="1DDE809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指标</w:t>
            </w:r>
          </w:p>
          <w:p w14:paraId="5A3A5B6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p>
          <w:p w14:paraId="57974268">
            <w:pPr>
              <w:keepNext w:val="0"/>
              <w:keepLines w:val="0"/>
              <w:pageBreakBefore w:val="0"/>
              <w:widowControl/>
              <w:suppressLineNumbers w:val="0"/>
              <w:kinsoku/>
              <w:wordWrap/>
              <w:overflowPunct/>
              <w:topLinePunct w:val="0"/>
              <w:autoSpaceDE/>
              <w:autoSpaceDN/>
              <w:bidi w:val="0"/>
              <w:adjustRightInd w:val="0"/>
              <w:snapToGrid w:val="0"/>
              <w:spacing w:line="280" w:lineRule="exact"/>
              <w:ind w:left="-199" w:leftChars="-95"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147" w:type="dxa"/>
            <w:tcBorders>
              <w:top w:val="single" w:color="000000" w:sz="8" w:space="0"/>
              <w:left w:val="nil"/>
              <w:bottom w:val="single" w:color="000000" w:sz="8" w:space="0"/>
              <w:right w:val="single" w:color="000000" w:sz="8" w:space="0"/>
            </w:tcBorders>
            <w:noWrap w:val="0"/>
            <w:vAlign w:val="center"/>
          </w:tcPr>
          <w:p w14:paraId="750660B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项目所在国家（地区）</w:t>
            </w:r>
          </w:p>
        </w:tc>
        <w:tc>
          <w:tcPr>
            <w:tcW w:w="836" w:type="dxa"/>
            <w:tcBorders>
              <w:top w:val="single" w:color="000000" w:sz="8" w:space="0"/>
              <w:left w:val="nil"/>
              <w:bottom w:val="single" w:color="000000" w:sz="8" w:space="0"/>
              <w:right w:val="single" w:color="000000" w:sz="8" w:space="0"/>
            </w:tcBorders>
            <w:noWrap w:val="0"/>
            <w:vAlign w:val="center"/>
          </w:tcPr>
          <w:p w14:paraId="3D32D87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外方签约单位</w:t>
            </w:r>
          </w:p>
        </w:tc>
        <w:tc>
          <w:tcPr>
            <w:tcW w:w="637" w:type="dxa"/>
            <w:tcBorders>
              <w:top w:val="single" w:color="000000" w:sz="8" w:space="0"/>
              <w:left w:val="nil"/>
              <w:bottom w:val="single" w:color="000000" w:sz="8" w:space="0"/>
              <w:right w:val="single" w:color="000000" w:sz="8" w:space="0"/>
            </w:tcBorders>
            <w:noWrap w:val="0"/>
            <w:vAlign w:val="center"/>
          </w:tcPr>
          <w:p w14:paraId="5145A8D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雇主名称</w:t>
            </w:r>
          </w:p>
        </w:tc>
        <w:tc>
          <w:tcPr>
            <w:tcW w:w="586" w:type="dxa"/>
            <w:tcBorders>
              <w:top w:val="single" w:color="000000" w:sz="8" w:space="0"/>
              <w:left w:val="nil"/>
              <w:bottom w:val="single" w:color="000000" w:sz="8" w:space="0"/>
              <w:right w:val="single" w:color="000000" w:sz="8" w:space="0"/>
            </w:tcBorders>
            <w:noWrap w:val="0"/>
            <w:vAlign w:val="center"/>
          </w:tcPr>
          <w:p w14:paraId="2DF24D3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签约日期</w:t>
            </w:r>
          </w:p>
        </w:tc>
        <w:tc>
          <w:tcPr>
            <w:tcW w:w="1175" w:type="dxa"/>
            <w:tcBorders>
              <w:top w:val="single" w:color="000000" w:sz="8" w:space="0"/>
              <w:left w:val="nil"/>
              <w:bottom w:val="nil"/>
              <w:right w:val="single" w:color="000000" w:sz="8" w:space="0"/>
            </w:tcBorders>
            <w:noWrap w:val="0"/>
            <w:vAlign w:val="center"/>
          </w:tcPr>
          <w:p w14:paraId="0EF8318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新签劳务人员合同工资总额</w:t>
            </w:r>
          </w:p>
        </w:tc>
        <w:tc>
          <w:tcPr>
            <w:tcW w:w="1000" w:type="dxa"/>
            <w:tcBorders>
              <w:top w:val="single" w:color="000000" w:sz="8" w:space="0"/>
              <w:left w:val="nil"/>
              <w:bottom w:val="nil"/>
              <w:right w:val="single" w:color="000000" w:sz="8" w:space="0"/>
            </w:tcBorders>
            <w:noWrap w:val="0"/>
            <w:vAlign w:val="center"/>
          </w:tcPr>
          <w:p w14:paraId="0D40D71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劳务人员实际收入总额</w:t>
            </w:r>
          </w:p>
        </w:tc>
        <w:tc>
          <w:tcPr>
            <w:tcW w:w="1145" w:type="dxa"/>
            <w:tcBorders>
              <w:top w:val="single" w:color="000000" w:sz="8" w:space="0"/>
              <w:left w:val="nil"/>
              <w:bottom w:val="nil"/>
              <w:right w:val="single" w:color="000000" w:sz="8" w:space="0"/>
            </w:tcBorders>
            <w:noWrap w:val="0"/>
            <w:tcFitText/>
            <w:vAlign w:val="center"/>
          </w:tcPr>
          <w:p w14:paraId="6674225A">
            <w:pPr>
              <w:keepNext w:val="0"/>
              <w:keepLines w:val="0"/>
              <w:pageBreakBefore w:val="0"/>
              <w:widowControl/>
              <w:suppressLineNumbers w:val="0"/>
              <w:kinsoku/>
              <w:wordWrap/>
              <w:overflowPunct/>
              <w:topLinePunct w:val="0"/>
              <w:autoSpaceDE/>
              <w:autoSpaceDN/>
              <w:bidi w:val="0"/>
              <w:adjustRightInd w:val="0"/>
              <w:snapToGrid w:val="0"/>
              <w:spacing w:line="280" w:lineRule="exact"/>
              <w:ind w:right="-13" w:rightChars="-6"/>
              <w:jc w:val="center"/>
              <w:textAlignment w:val="center"/>
              <w:rPr>
                <w:rFonts w:hint="eastAsia" w:ascii="宋体" w:hAnsi="宋体" w:eastAsia="宋体" w:cs="宋体"/>
                <w:i w:val="0"/>
                <w:iCs w:val="0"/>
                <w:color w:val="000000"/>
                <w:spacing w:val="0"/>
                <w:kern w:val="0"/>
                <w:sz w:val="18"/>
                <w:szCs w:val="18"/>
                <w:u w:val="none"/>
                <w:lang w:val="en-US" w:eastAsia="zh-CN" w:bidi="ar"/>
              </w:rPr>
            </w:pPr>
            <w:r>
              <w:rPr>
                <w:rFonts w:hint="eastAsia" w:ascii="宋体" w:hAnsi="宋体" w:eastAsia="宋体" w:cs="宋体"/>
                <w:i w:val="0"/>
                <w:iCs w:val="0"/>
                <w:color w:val="000000"/>
                <w:spacing w:val="0"/>
                <w:w w:val="86"/>
                <w:kern w:val="0"/>
                <w:sz w:val="18"/>
                <w:szCs w:val="18"/>
                <w:u w:val="none"/>
                <w:lang w:val="en-US" w:eastAsia="zh-CN" w:bidi="ar"/>
              </w:rPr>
              <w:t>劳务人员实际</w:t>
            </w:r>
          </w:p>
          <w:p w14:paraId="5DDB05E3">
            <w:pPr>
              <w:keepNext w:val="0"/>
              <w:keepLines w:val="0"/>
              <w:pageBreakBefore w:val="0"/>
              <w:widowControl/>
              <w:suppressLineNumbers w:val="0"/>
              <w:kinsoku/>
              <w:wordWrap/>
              <w:overflowPunct/>
              <w:topLinePunct w:val="0"/>
              <w:autoSpaceDE/>
              <w:autoSpaceDN/>
              <w:bidi w:val="0"/>
              <w:adjustRightInd w:val="0"/>
              <w:snapToGrid w:val="0"/>
              <w:spacing w:line="280" w:lineRule="exact"/>
              <w:ind w:right="-13" w:rightChars="-6"/>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月平均工资</w:t>
            </w:r>
          </w:p>
        </w:tc>
        <w:tc>
          <w:tcPr>
            <w:tcW w:w="938" w:type="dxa"/>
            <w:tcBorders>
              <w:top w:val="single" w:color="000000" w:sz="8" w:space="0"/>
              <w:left w:val="nil"/>
              <w:bottom w:val="nil"/>
              <w:right w:val="single" w:color="000000" w:sz="8" w:space="0"/>
            </w:tcBorders>
            <w:noWrap w:val="0"/>
            <w:vAlign w:val="center"/>
          </w:tcPr>
          <w:p w14:paraId="4BB8FD8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当月派出人数</w:t>
            </w:r>
          </w:p>
        </w:tc>
        <w:tc>
          <w:tcPr>
            <w:tcW w:w="925" w:type="dxa"/>
            <w:tcBorders>
              <w:top w:val="single" w:color="000000" w:sz="8" w:space="0"/>
              <w:left w:val="nil"/>
              <w:bottom w:val="single" w:color="000000" w:sz="8" w:space="0"/>
              <w:right w:val="nil"/>
            </w:tcBorders>
            <w:noWrap w:val="0"/>
            <w:vAlign w:val="center"/>
          </w:tcPr>
          <w:p w14:paraId="4B35E74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月末在外人数</w:t>
            </w:r>
          </w:p>
        </w:tc>
      </w:tr>
      <w:tr w14:paraId="6C87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33" w:type="dxa"/>
            <w:tcBorders>
              <w:top w:val="single" w:color="000000" w:sz="8" w:space="0"/>
              <w:left w:val="nil"/>
              <w:bottom w:val="single" w:color="000000" w:sz="8" w:space="0"/>
              <w:right w:val="single" w:color="000000" w:sz="8" w:space="0"/>
            </w:tcBorders>
            <w:noWrap w:val="0"/>
            <w:vAlign w:val="top"/>
          </w:tcPr>
          <w:p w14:paraId="24C9785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w:t>
            </w:r>
          </w:p>
        </w:tc>
        <w:tc>
          <w:tcPr>
            <w:tcW w:w="1147" w:type="dxa"/>
            <w:tcBorders>
              <w:top w:val="nil"/>
              <w:left w:val="nil"/>
              <w:bottom w:val="single" w:color="000000" w:sz="8" w:space="0"/>
              <w:right w:val="single" w:color="000000" w:sz="8" w:space="0"/>
            </w:tcBorders>
            <w:noWrap w:val="0"/>
            <w:vAlign w:val="top"/>
          </w:tcPr>
          <w:p w14:paraId="6EA60E7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w:t>
            </w:r>
          </w:p>
        </w:tc>
        <w:tc>
          <w:tcPr>
            <w:tcW w:w="836" w:type="dxa"/>
            <w:tcBorders>
              <w:top w:val="nil"/>
              <w:left w:val="nil"/>
              <w:bottom w:val="single" w:color="000000" w:sz="8" w:space="0"/>
              <w:right w:val="single" w:color="000000" w:sz="8" w:space="0"/>
            </w:tcBorders>
            <w:noWrap w:val="0"/>
            <w:vAlign w:val="top"/>
          </w:tcPr>
          <w:p w14:paraId="1965D85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w:t>
            </w:r>
          </w:p>
        </w:tc>
        <w:tc>
          <w:tcPr>
            <w:tcW w:w="637" w:type="dxa"/>
            <w:tcBorders>
              <w:top w:val="nil"/>
              <w:left w:val="nil"/>
              <w:bottom w:val="single" w:color="000000" w:sz="8" w:space="0"/>
              <w:right w:val="single" w:color="000000" w:sz="8" w:space="0"/>
            </w:tcBorders>
            <w:noWrap w:val="0"/>
            <w:vAlign w:val="top"/>
          </w:tcPr>
          <w:p w14:paraId="3598982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丁</w:t>
            </w:r>
          </w:p>
        </w:tc>
        <w:tc>
          <w:tcPr>
            <w:tcW w:w="586" w:type="dxa"/>
            <w:tcBorders>
              <w:top w:val="nil"/>
              <w:left w:val="nil"/>
              <w:bottom w:val="single" w:color="000000" w:sz="8" w:space="0"/>
              <w:right w:val="single" w:color="000000" w:sz="8" w:space="0"/>
            </w:tcBorders>
            <w:noWrap w:val="0"/>
            <w:vAlign w:val="top"/>
          </w:tcPr>
          <w:p w14:paraId="5940FBA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戊</w:t>
            </w:r>
          </w:p>
        </w:tc>
        <w:tc>
          <w:tcPr>
            <w:tcW w:w="1175" w:type="dxa"/>
            <w:tcBorders>
              <w:top w:val="single" w:color="000000" w:sz="8" w:space="0"/>
              <w:left w:val="nil"/>
              <w:bottom w:val="single" w:color="000000" w:sz="8" w:space="0"/>
              <w:right w:val="single" w:color="000000" w:sz="8" w:space="0"/>
            </w:tcBorders>
            <w:noWrap/>
            <w:vAlign w:val="top"/>
          </w:tcPr>
          <w:p w14:paraId="5892416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0" w:type="dxa"/>
            <w:tcBorders>
              <w:top w:val="single" w:color="000000" w:sz="8" w:space="0"/>
              <w:left w:val="nil"/>
              <w:bottom w:val="single" w:color="000000" w:sz="8" w:space="0"/>
              <w:right w:val="single" w:color="000000" w:sz="8" w:space="0"/>
            </w:tcBorders>
            <w:noWrap/>
            <w:vAlign w:val="top"/>
          </w:tcPr>
          <w:p w14:paraId="14D9D03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5" w:type="dxa"/>
            <w:tcBorders>
              <w:top w:val="single" w:color="000000" w:sz="8" w:space="0"/>
              <w:left w:val="nil"/>
              <w:bottom w:val="single" w:color="000000" w:sz="8" w:space="0"/>
              <w:right w:val="single" w:color="000000" w:sz="8" w:space="0"/>
            </w:tcBorders>
            <w:noWrap/>
            <w:vAlign w:val="top"/>
          </w:tcPr>
          <w:p w14:paraId="3D0071B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8" w:type="dxa"/>
            <w:tcBorders>
              <w:top w:val="single" w:color="000000" w:sz="8" w:space="0"/>
              <w:left w:val="nil"/>
              <w:bottom w:val="single" w:color="000000" w:sz="8" w:space="0"/>
              <w:right w:val="single" w:color="000000" w:sz="8" w:space="0"/>
            </w:tcBorders>
            <w:noWrap/>
            <w:vAlign w:val="top"/>
          </w:tcPr>
          <w:p w14:paraId="5D6DB1B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5" w:type="dxa"/>
            <w:tcBorders>
              <w:top w:val="nil"/>
              <w:left w:val="nil"/>
              <w:bottom w:val="single" w:color="000000" w:sz="8" w:space="0"/>
              <w:right w:val="nil"/>
            </w:tcBorders>
            <w:noWrap/>
            <w:vAlign w:val="top"/>
          </w:tcPr>
          <w:p w14:paraId="598120A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41759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single" w:color="000000" w:sz="8" w:space="0"/>
              <w:left w:val="nil"/>
              <w:bottom w:val="nil"/>
              <w:right w:val="single" w:color="000000" w:sz="8" w:space="0"/>
            </w:tcBorders>
            <w:noWrap w:val="0"/>
            <w:vAlign w:val="top"/>
          </w:tcPr>
          <w:p w14:paraId="5F44FD6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合    计</w:t>
            </w:r>
          </w:p>
        </w:tc>
        <w:tc>
          <w:tcPr>
            <w:tcW w:w="1147" w:type="dxa"/>
            <w:tcBorders>
              <w:top w:val="nil"/>
              <w:left w:val="nil"/>
              <w:bottom w:val="nil"/>
              <w:right w:val="nil"/>
            </w:tcBorders>
            <w:noWrap w:val="0"/>
            <w:vAlign w:val="top"/>
          </w:tcPr>
          <w:p w14:paraId="4DD5CFB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57762C6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7311915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31A3F3E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ign w:val="center"/>
          </w:tcPr>
          <w:p w14:paraId="45CC4BE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449248F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5AECD96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3A7E2DF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4A18C22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3639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133" w:type="dxa"/>
            <w:tcBorders>
              <w:top w:val="nil"/>
              <w:left w:val="nil"/>
              <w:bottom w:val="nil"/>
              <w:right w:val="single" w:color="000000" w:sz="8" w:space="0"/>
            </w:tcBorders>
            <w:noWrap w:val="0"/>
            <w:vAlign w:val="top"/>
          </w:tcPr>
          <w:p w14:paraId="5085D1A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XX项目</w:t>
            </w:r>
          </w:p>
        </w:tc>
        <w:tc>
          <w:tcPr>
            <w:tcW w:w="1147" w:type="dxa"/>
            <w:tcBorders>
              <w:top w:val="nil"/>
              <w:left w:val="nil"/>
              <w:bottom w:val="nil"/>
              <w:right w:val="nil"/>
            </w:tcBorders>
            <w:noWrap w:val="0"/>
            <w:vAlign w:val="top"/>
          </w:tcPr>
          <w:p w14:paraId="08756D3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07CF3BA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3CD31B7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26D2757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0F38BEE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6E227C4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5369996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5155130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55F36B7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01FB7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nil"/>
              <w:left w:val="nil"/>
              <w:bottom w:val="nil"/>
              <w:right w:val="single" w:color="000000" w:sz="8" w:space="0"/>
            </w:tcBorders>
            <w:noWrap w:val="0"/>
            <w:vAlign w:val="top"/>
          </w:tcPr>
          <w:p w14:paraId="673D16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XX项目</w:t>
            </w:r>
          </w:p>
        </w:tc>
        <w:tc>
          <w:tcPr>
            <w:tcW w:w="1147" w:type="dxa"/>
            <w:tcBorders>
              <w:top w:val="nil"/>
              <w:left w:val="nil"/>
              <w:bottom w:val="nil"/>
              <w:right w:val="nil"/>
            </w:tcBorders>
            <w:noWrap w:val="0"/>
            <w:vAlign w:val="top"/>
          </w:tcPr>
          <w:p w14:paraId="57D874F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1BECD9E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4534A0C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2D379C4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5DFD5EC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02C998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10A87FC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517695C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5B175CC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67AF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nil"/>
              <w:left w:val="nil"/>
              <w:bottom w:val="nil"/>
              <w:right w:val="single" w:color="000000" w:sz="8" w:space="0"/>
            </w:tcBorders>
            <w:noWrap w:val="0"/>
            <w:vAlign w:val="top"/>
          </w:tcPr>
          <w:p w14:paraId="270EA7E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1147" w:type="dxa"/>
            <w:tcBorders>
              <w:top w:val="nil"/>
              <w:left w:val="nil"/>
              <w:bottom w:val="nil"/>
              <w:right w:val="nil"/>
            </w:tcBorders>
            <w:noWrap w:val="0"/>
            <w:vAlign w:val="top"/>
          </w:tcPr>
          <w:p w14:paraId="4E3D2D9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647FB62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1696B3E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2681ABB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734FD96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6685D53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2D3ACC7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0D98981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53CEDD8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4EF5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33" w:type="dxa"/>
            <w:tcBorders>
              <w:top w:val="nil"/>
              <w:left w:val="nil"/>
              <w:bottom w:val="single" w:color="000000" w:sz="8" w:space="0"/>
              <w:right w:val="single" w:color="000000" w:sz="8" w:space="0"/>
            </w:tcBorders>
            <w:noWrap w:val="0"/>
            <w:vAlign w:val="top"/>
          </w:tcPr>
          <w:p w14:paraId="2BFF0AF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1147" w:type="dxa"/>
            <w:tcBorders>
              <w:top w:val="nil"/>
              <w:left w:val="nil"/>
              <w:bottom w:val="single" w:color="000000" w:sz="8" w:space="0"/>
              <w:right w:val="nil"/>
            </w:tcBorders>
            <w:noWrap w:val="0"/>
            <w:vAlign w:val="top"/>
          </w:tcPr>
          <w:p w14:paraId="0C956CF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single" w:color="000000" w:sz="8" w:space="0"/>
              <w:right w:val="nil"/>
            </w:tcBorders>
            <w:noWrap w:val="0"/>
            <w:vAlign w:val="top"/>
          </w:tcPr>
          <w:p w14:paraId="711EFD3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single" w:color="000000" w:sz="8" w:space="0"/>
              <w:right w:val="nil"/>
            </w:tcBorders>
            <w:noWrap w:val="0"/>
            <w:vAlign w:val="top"/>
          </w:tcPr>
          <w:p w14:paraId="0BAEFBD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single" w:color="000000" w:sz="8" w:space="0"/>
              <w:right w:val="nil"/>
            </w:tcBorders>
            <w:noWrap w:val="0"/>
            <w:vAlign w:val="top"/>
          </w:tcPr>
          <w:p w14:paraId="589A1FF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single" w:color="000000" w:sz="8" w:space="0"/>
              <w:right w:val="nil"/>
            </w:tcBorders>
            <w:noWrap w:val="0"/>
            <w:vAlign w:val="top"/>
          </w:tcPr>
          <w:p w14:paraId="1F79DD8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single" w:color="000000" w:sz="8" w:space="0"/>
              <w:right w:val="nil"/>
            </w:tcBorders>
            <w:noWrap/>
            <w:vAlign w:val="center"/>
          </w:tcPr>
          <w:p w14:paraId="3A67084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single" w:color="000000" w:sz="8" w:space="0"/>
              <w:right w:val="nil"/>
            </w:tcBorders>
            <w:noWrap/>
            <w:vAlign w:val="center"/>
          </w:tcPr>
          <w:p w14:paraId="6EB1F1D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single" w:color="000000" w:sz="8" w:space="0"/>
              <w:right w:val="nil"/>
            </w:tcBorders>
            <w:noWrap/>
            <w:vAlign w:val="center"/>
          </w:tcPr>
          <w:p w14:paraId="0F80736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single" w:color="000000" w:sz="8" w:space="0"/>
              <w:right w:val="nil"/>
            </w:tcBorders>
            <w:noWrap/>
            <w:vAlign w:val="center"/>
          </w:tcPr>
          <w:p w14:paraId="740A19C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61C1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5570E6C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 xml:space="preserve">填报人：                 </w:t>
            </w:r>
            <w:r>
              <w:rPr>
                <w:rFonts w:hint="eastAsia" w:ascii="宋体" w:hAnsi="宋体" w:eastAsia="宋体" w:cs="宋体"/>
                <w:i w:val="0"/>
                <w:iCs w:val="0"/>
                <w:color w:val="000000"/>
                <w:kern w:val="0"/>
                <w:sz w:val="18"/>
                <w:szCs w:val="18"/>
                <w:u w:val="none"/>
                <w:lang w:val="en-US" w:eastAsia="zh-CN" w:bidi="ar"/>
              </w:rPr>
              <w:t>单位负责人：                      联系电话：          报出日期：２０  年  月   日</w:t>
            </w:r>
          </w:p>
        </w:tc>
      </w:tr>
      <w:tr w14:paraId="01A7A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516999D1">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说明：1</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本表综合反映报告月份对外劳务合作项目的基本情况。</w:t>
            </w:r>
          </w:p>
        </w:tc>
      </w:tr>
      <w:tr w14:paraId="5937F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1E27716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本表由企业于月</w:t>
            </w:r>
            <w:r>
              <w:rPr>
                <w:rFonts w:hint="eastAsia" w:ascii="宋体" w:hAnsi="宋体" w:cs="宋体"/>
                <w:i w:val="0"/>
                <w:iCs w:val="0"/>
                <w:color w:val="000000"/>
                <w:kern w:val="0"/>
                <w:sz w:val="18"/>
                <w:szCs w:val="18"/>
                <w:u w:val="none"/>
                <w:lang w:val="en-US" w:eastAsia="zh-CN" w:bidi="ar"/>
              </w:rPr>
              <w:t>后</w:t>
            </w:r>
            <w:r>
              <w:rPr>
                <w:rFonts w:hint="eastAsia" w:ascii="宋体" w:hAnsi="宋体" w:eastAsia="宋体" w:cs="宋体"/>
                <w:i w:val="0"/>
                <w:iCs w:val="0"/>
                <w:color w:val="000000"/>
                <w:kern w:val="0"/>
                <w:sz w:val="18"/>
                <w:szCs w:val="18"/>
                <w:u w:val="none"/>
                <w:lang w:val="en-US" w:eastAsia="zh-CN" w:bidi="ar"/>
              </w:rPr>
              <w:t xml:space="preserve">10日内通过网络传输报送。   </w:t>
            </w:r>
          </w:p>
        </w:tc>
      </w:tr>
      <w:tr w14:paraId="2C5B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0"/>
            <w:vAlign w:val="center"/>
          </w:tcPr>
          <w:p w14:paraId="3A9EBFA5">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新签劳务人员工资额、劳务人员实际收入总额以“万美元”作为统计单位；劳务人员实际月平均工资以“美元”作为统计单位。</w:t>
            </w:r>
          </w:p>
        </w:tc>
      </w:tr>
    </w:tbl>
    <w:p w14:paraId="33A7B326">
      <w:pPr>
        <w:jc w:val="center"/>
        <w:rPr>
          <w:rFonts w:ascii="黑体" w:eastAsia="黑体"/>
          <w:sz w:val="32"/>
          <w:szCs w:val="32"/>
        </w:rPr>
      </w:pPr>
    </w:p>
    <w:p w14:paraId="61A41C96">
      <w:pPr>
        <w:jc w:val="center"/>
        <w:rPr>
          <w:rFonts w:ascii="黑体" w:eastAsia="黑体"/>
          <w:sz w:val="32"/>
          <w:szCs w:val="32"/>
        </w:rPr>
      </w:pPr>
    </w:p>
    <w:p w14:paraId="1C825120">
      <w:pPr>
        <w:jc w:val="center"/>
        <w:rPr>
          <w:rFonts w:ascii="黑体" w:eastAsia="黑体"/>
          <w:sz w:val="32"/>
          <w:szCs w:val="32"/>
        </w:rPr>
      </w:pPr>
    </w:p>
    <w:p w14:paraId="227DD1AD">
      <w:pPr>
        <w:jc w:val="center"/>
        <w:rPr>
          <w:rFonts w:ascii="黑体" w:eastAsia="黑体"/>
          <w:sz w:val="32"/>
          <w:szCs w:val="32"/>
        </w:rPr>
      </w:pPr>
    </w:p>
    <w:p w14:paraId="13079123">
      <w:pPr>
        <w:jc w:val="center"/>
        <w:rPr>
          <w:rFonts w:ascii="黑体" w:eastAsia="黑体"/>
          <w:sz w:val="32"/>
          <w:szCs w:val="32"/>
        </w:rPr>
      </w:pPr>
    </w:p>
    <w:p w14:paraId="353831D8">
      <w:pPr>
        <w:jc w:val="center"/>
        <w:rPr>
          <w:rFonts w:ascii="黑体" w:eastAsia="黑体"/>
          <w:sz w:val="32"/>
          <w:szCs w:val="32"/>
        </w:rPr>
      </w:pPr>
    </w:p>
    <w:p w14:paraId="0D60B147">
      <w:pPr>
        <w:jc w:val="center"/>
        <w:rPr>
          <w:rFonts w:ascii="黑体" w:eastAsia="黑体"/>
          <w:sz w:val="32"/>
          <w:szCs w:val="32"/>
        </w:rPr>
      </w:pPr>
    </w:p>
    <w:p w14:paraId="2300F701">
      <w:pPr>
        <w:numPr>
          <w:ilvl w:val="0"/>
          <w:numId w:val="0"/>
        </w:numPr>
        <w:ind w:leftChars="0"/>
        <w:jc w:val="center"/>
        <w:outlineLvl w:val="1"/>
        <w:rPr>
          <w:rFonts w:hint="eastAsia" w:ascii="宋体" w:hAnsi="宋体" w:eastAsia="宋体" w:cs="宋体"/>
          <w:i w:val="0"/>
          <w:iCs w:val="0"/>
          <w:color w:val="000000"/>
          <w:kern w:val="0"/>
          <w:sz w:val="32"/>
          <w:szCs w:val="32"/>
          <w:u w:val="none"/>
          <w:lang w:val="en-US" w:eastAsia="zh-CN" w:bidi="ar"/>
        </w:rPr>
      </w:pPr>
      <w:r>
        <w:rPr>
          <w:rFonts w:ascii="黑体" w:eastAsia="黑体"/>
          <w:sz w:val="32"/>
          <w:szCs w:val="32"/>
        </w:rPr>
        <w:br w:type="page"/>
      </w:r>
      <w:bookmarkStart w:id="91" w:name="_Toc486588264"/>
      <w:bookmarkStart w:id="92" w:name="_Toc2137643956"/>
      <w:bookmarkStart w:id="93" w:name="_Toc833384015"/>
      <w:bookmarkStart w:id="94" w:name="_Toc1782641033"/>
      <w:r>
        <w:rPr>
          <w:rFonts w:hint="eastAsia" w:ascii="宋体" w:hAnsi="宋体" w:eastAsia="宋体" w:cs="宋体"/>
          <w:i w:val="0"/>
          <w:iCs w:val="0"/>
          <w:color w:val="000000"/>
          <w:kern w:val="0"/>
          <w:sz w:val="32"/>
          <w:szCs w:val="32"/>
          <w:u w:val="none"/>
          <w:lang w:val="en-US" w:eastAsia="zh-CN" w:bidi="ar"/>
        </w:rPr>
        <w:t>对外劳务合作项目人员构成和变化情况</w:t>
      </w:r>
      <w:bookmarkEnd w:id="91"/>
      <w:bookmarkEnd w:id="92"/>
      <w:bookmarkEnd w:id="93"/>
      <w:bookmarkEnd w:id="94"/>
    </w:p>
    <w:tbl>
      <w:tblPr>
        <w:tblStyle w:val="11"/>
        <w:tblW w:w="9680" w:type="dxa"/>
        <w:tblInd w:w="-3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13"/>
        <w:gridCol w:w="1244"/>
        <w:gridCol w:w="1263"/>
        <w:gridCol w:w="241"/>
        <w:gridCol w:w="896"/>
        <w:gridCol w:w="136"/>
        <w:gridCol w:w="1039"/>
        <w:gridCol w:w="1939"/>
        <w:gridCol w:w="9"/>
      </w:tblGrid>
      <w:tr w14:paraId="68934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49" w:hRule="atLeast"/>
        </w:trPr>
        <w:tc>
          <w:tcPr>
            <w:tcW w:w="5661" w:type="dxa"/>
            <w:gridSpan w:val="4"/>
            <w:tcBorders>
              <w:top w:val="nil"/>
              <w:left w:val="nil"/>
              <w:bottom w:val="nil"/>
              <w:right w:val="nil"/>
            </w:tcBorders>
            <w:noWrap/>
            <w:vAlign w:val="center"/>
          </w:tcPr>
          <w:p w14:paraId="5631378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bookmarkStart w:id="95" w:name="_Toc815110753"/>
            <w:bookmarkStart w:id="96" w:name="_Toc987467159"/>
            <w:bookmarkStart w:id="97" w:name="_Toc1267356436"/>
            <w:bookmarkStart w:id="98" w:name="_Toc442864160"/>
          </w:p>
        </w:tc>
        <w:tc>
          <w:tcPr>
            <w:tcW w:w="1032" w:type="dxa"/>
            <w:gridSpan w:val="2"/>
            <w:tcBorders>
              <w:top w:val="nil"/>
              <w:left w:val="nil"/>
              <w:bottom w:val="nil"/>
              <w:right w:val="nil"/>
            </w:tcBorders>
            <w:noWrap/>
            <w:vAlign w:val="center"/>
          </w:tcPr>
          <w:p w14:paraId="0E533FF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088BD86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表    号：LW</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 xml:space="preserve">表        </w:t>
            </w:r>
          </w:p>
        </w:tc>
      </w:tr>
      <w:tr w14:paraId="2CF9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5" w:hRule="atLeast"/>
        </w:trPr>
        <w:tc>
          <w:tcPr>
            <w:tcW w:w="6693" w:type="dxa"/>
            <w:gridSpan w:val="6"/>
            <w:tcBorders>
              <w:top w:val="nil"/>
              <w:left w:val="nil"/>
              <w:bottom w:val="nil"/>
              <w:right w:val="nil"/>
            </w:tcBorders>
            <w:noWrap/>
            <w:vAlign w:val="center"/>
          </w:tcPr>
          <w:p w14:paraId="5C9C0F7F">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268A29AD">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1A2AA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9" w:hRule="atLeast"/>
        </w:trPr>
        <w:tc>
          <w:tcPr>
            <w:tcW w:w="5661" w:type="dxa"/>
            <w:gridSpan w:val="4"/>
            <w:tcBorders>
              <w:top w:val="nil"/>
              <w:left w:val="nil"/>
              <w:bottom w:val="nil"/>
              <w:right w:val="nil"/>
            </w:tcBorders>
            <w:noWrap/>
            <w:vAlign w:val="center"/>
          </w:tcPr>
          <w:p w14:paraId="3C1EB609">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32" w:type="dxa"/>
            <w:gridSpan w:val="2"/>
            <w:tcBorders>
              <w:top w:val="nil"/>
              <w:left w:val="nil"/>
              <w:bottom w:val="nil"/>
              <w:right w:val="nil"/>
            </w:tcBorders>
            <w:noWrap/>
            <w:vAlign w:val="center"/>
          </w:tcPr>
          <w:p w14:paraId="1931F1F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3EB8852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批准机关：国家统计局</w:t>
            </w:r>
          </w:p>
        </w:tc>
      </w:tr>
      <w:tr w14:paraId="485B4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9" w:hRule="atLeast"/>
        </w:trPr>
        <w:tc>
          <w:tcPr>
            <w:tcW w:w="5661" w:type="dxa"/>
            <w:gridSpan w:val="4"/>
            <w:tcBorders>
              <w:top w:val="nil"/>
              <w:left w:val="nil"/>
              <w:bottom w:val="nil"/>
              <w:right w:val="nil"/>
            </w:tcBorders>
            <w:noWrap/>
            <w:vAlign w:val="center"/>
          </w:tcPr>
          <w:p w14:paraId="60355A29">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32" w:type="dxa"/>
            <w:gridSpan w:val="2"/>
            <w:tcBorders>
              <w:top w:val="nil"/>
              <w:left w:val="nil"/>
              <w:bottom w:val="nil"/>
              <w:right w:val="nil"/>
            </w:tcBorders>
            <w:noWrap/>
            <w:vAlign w:val="center"/>
          </w:tcPr>
          <w:p w14:paraId="267D8067">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6CD450DA">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3BA05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5661" w:type="dxa"/>
            <w:gridSpan w:val="4"/>
            <w:tcBorders>
              <w:top w:val="nil"/>
              <w:left w:val="nil"/>
              <w:bottom w:val="nil"/>
              <w:right w:val="nil"/>
            </w:tcBorders>
            <w:noWrap/>
            <w:vAlign w:val="center"/>
          </w:tcPr>
          <w:p w14:paraId="5701E75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032" w:type="dxa"/>
            <w:gridSpan w:val="2"/>
            <w:tcBorders>
              <w:top w:val="nil"/>
              <w:left w:val="nil"/>
              <w:bottom w:val="nil"/>
              <w:right w:val="nil"/>
            </w:tcBorders>
            <w:noWrap/>
            <w:vAlign w:val="center"/>
          </w:tcPr>
          <w:p w14:paraId="27EB6FF1">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5FFE84C5">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4FE9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5661" w:type="dxa"/>
            <w:gridSpan w:val="4"/>
            <w:tcBorders>
              <w:top w:val="nil"/>
              <w:left w:val="nil"/>
              <w:bottom w:val="nil"/>
              <w:right w:val="nil"/>
            </w:tcBorders>
            <w:noWrap/>
            <w:vAlign w:val="center"/>
          </w:tcPr>
          <w:p w14:paraId="2BF5017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统一社会信用代码：□□□□□□□□□□□□□□□□□□</w:t>
            </w:r>
          </w:p>
        </w:tc>
        <w:tc>
          <w:tcPr>
            <w:tcW w:w="1032" w:type="dxa"/>
            <w:gridSpan w:val="2"/>
            <w:tcBorders>
              <w:top w:val="nil"/>
              <w:left w:val="nil"/>
              <w:bottom w:val="nil"/>
              <w:right w:val="nil"/>
            </w:tcBorders>
            <w:noWrap/>
            <w:vAlign w:val="center"/>
          </w:tcPr>
          <w:p w14:paraId="32108352">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sz w:val="18"/>
                <w:szCs w:val="18"/>
                <w:u w:val="none"/>
              </w:rPr>
            </w:pPr>
          </w:p>
        </w:tc>
        <w:tc>
          <w:tcPr>
            <w:tcW w:w="2987" w:type="dxa"/>
            <w:gridSpan w:val="3"/>
            <w:tcBorders>
              <w:top w:val="nil"/>
              <w:left w:val="nil"/>
              <w:bottom w:val="nil"/>
              <w:right w:val="nil"/>
            </w:tcBorders>
            <w:noWrap/>
            <w:vAlign w:val="center"/>
          </w:tcPr>
          <w:p w14:paraId="19225539">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计量单位：人</w:t>
            </w:r>
          </w:p>
        </w:tc>
      </w:tr>
      <w:tr w14:paraId="3000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9680" w:type="dxa"/>
            <w:gridSpan w:val="9"/>
            <w:tcBorders>
              <w:top w:val="nil"/>
              <w:left w:val="nil"/>
              <w:bottom w:val="nil"/>
              <w:right w:val="nil"/>
            </w:tcBorders>
            <w:noWrap/>
            <w:vAlign w:val="center"/>
          </w:tcPr>
          <w:p w14:paraId="775F3C8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 0  　年   </w:t>
            </w:r>
            <w:r>
              <w:rPr>
                <w:rFonts w:hint="eastAsia" w:ascii="宋体" w:hAnsi="宋体" w:cs="宋体"/>
                <w:i w:val="0"/>
                <w:iCs w:val="0"/>
                <w:color w:val="000000"/>
                <w:kern w:val="0"/>
                <w:sz w:val="18"/>
                <w:szCs w:val="18"/>
                <w:u w:val="none"/>
                <w:lang w:val="en-US" w:eastAsia="zh-CN" w:bidi="ar"/>
              </w:rPr>
              <w:t xml:space="preserve"> 月</w:t>
            </w:r>
          </w:p>
        </w:tc>
      </w:tr>
      <w:tr w14:paraId="5075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single" w:color="000000" w:sz="8" w:space="0"/>
              <w:left w:val="nil"/>
              <w:bottom w:val="single" w:color="000000" w:sz="8" w:space="0"/>
              <w:right w:val="single" w:color="000000" w:sz="4" w:space="0"/>
            </w:tcBorders>
            <w:noWrap/>
            <w:vAlign w:val="center"/>
          </w:tcPr>
          <w:p w14:paraId="595B9750">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项目名称/人员行业</w:t>
            </w:r>
          </w:p>
        </w:tc>
        <w:tc>
          <w:tcPr>
            <w:tcW w:w="1244" w:type="dxa"/>
            <w:tcBorders>
              <w:top w:val="single" w:color="000000" w:sz="8" w:space="0"/>
              <w:left w:val="single" w:color="000000" w:sz="4" w:space="0"/>
              <w:bottom w:val="single" w:color="000000" w:sz="8" w:space="0"/>
              <w:right w:val="single" w:color="000000" w:sz="4" w:space="0"/>
            </w:tcBorders>
            <w:noWrap/>
            <w:vAlign w:val="center"/>
          </w:tcPr>
          <w:p w14:paraId="7E1A038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上月末在外人数</w:t>
            </w:r>
          </w:p>
        </w:tc>
        <w:tc>
          <w:tcPr>
            <w:tcW w:w="1263" w:type="dxa"/>
            <w:tcBorders>
              <w:top w:val="single" w:color="000000" w:sz="8" w:space="0"/>
              <w:left w:val="single" w:color="000000" w:sz="4" w:space="0"/>
              <w:bottom w:val="single" w:color="000000" w:sz="8" w:space="0"/>
              <w:right w:val="single" w:color="000000" w:sz="4" w:space="0"/>
            </w:tcBorders>
            <w:noWrap/>
            <w:vAlign w:val="center"/>
          </w:tcPr>
          <w:p w14:paraId="1E79AB4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本月末在外人数</w:t>
            </w:r>
          </w:p>
        </w:tc>
        <w:tc>
          <w:tcPr>
            <w:tcW w:w="1137" w:type="dxa"/>
            <w:gridSpan w:val="2"/>
            <w:tcBorders>
              <w:top w:val="single" w:color="000000" w:sz="8" w:space="0"/>
              <w:left w:val="single" w:color="000000" w:sz="4" w:space="0"/>
              <w:bottom w:val="single" w:color="000000" w:sz="8" w:space="0"/>
              <w:right w:val="single" w:color="000000" w:sz="4" w:space="0"/>
            </w:tcBorders>
            <w:noWrap/>
            <w:vAlign w:val="center"/>
          </w:tcPr>
          <w:p w14:paraId="633A302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当月派出人数</w:t>
            </w:r>
          </w:p>
        </w:tc>
        <w:tc>
          <w:tcPr>
            <w:tcW w:w="1175" w:type="dxa"/>
            <w:gridSpan w:val="2"/>
            <w:tcBorders>
              <w:top w:val="single" w:color="000000" w:sz="8" w:space="0"/>
              <w:left w:val="single" w:color="000000" w:sz="4" w:space="0"/>
              <w:bottom w:val="single" w:color="000000" w:sz="8" w:space="0"/>
              <w:right w:val="single" w:color="000000" w:sz="4" w:space="0"/>
            </w:tcBorders>
            <w:noWrap/>
            <w:vAlign w:val="center"/>
          </w:tcPr>
          <w:p w14:paraId="5E09EC7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当月回国人数</w:t>
            </w:r>
          </w:p>
        </w:tc>
        <w:tc>
          <w:tcPr>
            <w:tcW w:w="1939" w:type="dxa"/>
            <w:tcBorders>
              <w:top w:val="single" w:color="000000" w:sz="8" w:space="0"/>
              <w:left w:val="single" w:color="000000" w:sz="4" w:space="0"/>
              <w:bottom w:val="single" w:color="000000" w:sz="8" w:space="0"/>
              <w:right w:val="nil"/>
            </w:tcBorders>
            <w:noWrap w:val="0"/>
            <w:vAlign w:val="center"/>
          </w:tcPr>
          <w:p w14:paraId="6664BB1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当月国家（地区）间流动人员增减</w:t>
            </w:r>
          </w:p>
        </w:tc>
      </w:tr>
      <w:tr w14:paraId="4B62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single" w:color="auto" w:sz="4" w:space="0"/>
              <w:right w:val="single" w:color="000000" w:sz="4" w:space="0"/>
            </w:tcBorders>
            <w:noWrap/>
            <w:vAlign w:val="center"/>
          </w:tcPr>
          <w:p w14:paraId="677E011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w:t>
            </w:r>
          </w:p>
        </w:tc>
        <w:tc>
          <w:tcPr>
            <w:tcW w:w="1244" w:type="dxa"/>
            <w:tcBorders>
              <w:top w:val="nil"/>
              <w:left w:val="single" w:color="000000" w:sz="4" w:space="0"/>
              <w:bottom w:val="single" w:color="auto" w:sz="4" w:space="0"/>
              <w:right w:val="single" w:color="000000" w:sz="4" w:space="0"/>
            </w:tcBorders>
            <w:noWrap/>
            <w:vAlign w:val="center"/>
          </w:tcPr>
          <w:p w14:paraId="3D56E5E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263" w:type="dxa"/>
            <w:tcBorders>
              <w:top w:val="nil"/>
              <w:left w:val="single" w:color="000000" w:sz="4" w:space="0"/>
              <w:bottom w:val="single" w:color="auto" w:sz="4" w:space="0"/>
              <w:right w:val="single" w:color="000000" w:sz="4" w:space="0"/>
            </w:tcBorders>
            <w:noWrap/>
            <w:vAlign w:val="center"/>
          </w:tcPr>
          <w:p w14:paraId="0D77C5B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137" w:type="dxa"/>
            <w:gridSpan w:val="2"/>
            <w:tcBorders>
              <w:top w:val="nil"/>
              <w:left w:val="single" w:color="000000" w:sz="4" w:space="0"/>
              <w:bottom w:val="single" w:color="auto" w:sz="4" w:space="0"/>
              <w:right w:val="single" w:color="000000" w:sz="4" w:space="0"/>
            </w:tcBorders>
            <w:noWrap/>
            <w:vAlign w:val="center"/>
          </w:tcPr>
          <w:p w14:paraId="7C05C1FD">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1175" w:type="dxa"/>
            <w:gridSpan w:val="2"/>
            <w:tcBorders>
              <w:top w:val="nil"/>
              <w:left w:val="single" w:color="000000" w:sz="4" w:space="0"/>
              <w:bottom w:val="single" w:color="auto" w:sz="4" w:space="0"/>
              <w:right w:val="single" w:color="000000" w:sz="4" w:space="0"/>
            </w:tcBorders>
            <w:noWrap/>
            <w:vAlign w:val="center"/>
          </w:tcPr>
          <w:p w14:paraId="5804772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1939" w:type="dxa"/>
            <w:tcBorders>
              <w:top w:val="nil"/>
              <w:left w:val="single" w:color="000000" w:sz="4" w:space="0"/>
              <w:bottom w:val="single" w:color="auto" w:sz="4" w:space="0"/>
              <w:right w:val="nil"/>
            </w:tcBorders>
            <w:noWrap/>
            <w:vAlign w:val="center"/>
          </w:tcPr>
          <w:p w14:paraId="50C05F3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r>
      <w:tr w14:paraId="5895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90" w:hRule="atLeast"/>
        </w:trPr>
        <w:tc>
          <w:tcPr>
            <w:tcW w:w="2913" w:type="dxa"/>
            <w:tcBorders>
              <w:top w:val="single" w:color="auto" w:sz="4" w:space="0"/>
              <w:left w:val="nil"/>
              <w:bottom w:val="nil"/>
              <w:right w:val="single" w:color="auto" w:sz="4" w:space="0"/>
            </w:tcBorders>
            <w:noWrap/>
            <w:vAlign w:val="center"/>
          </w:tcPr>
          <w:p w14:paraId="5FB9574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XX国家XX项目小计</w:t>
            </w:r>
          </w:p>
        </w:tc>
        <w:tc>
          <w:tcPr>
            <w:tcW w:w="1244" w:type="dxa"/>
            <w:tcBorders>
              <w:top w:val="single" w:color="auto" w:sz="4" w:space="0"/>
              <w:left w:val="single" w:color="auto" w:sz="4" w:space="0"/>
              <w:bottom w:val="nil"/>
              <w:right w:val="nil"/>
            </w:tcBorders>
            <w:noWrap/>
            <w:vAlign w:val="center"/>
          </w:tcPr>
          <w:p w14:paraId="151FF36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single" w:color="auto" w:sz="4" w:space="0"/>
              <w:left w:val="nil"/>
              <w:bottom w:val="nil"/>
              <w:right w:val="nil"/>
            </w:tcBorders>
            <w:noWrap/>
            <w:vAlign w:val="center"/>
          </w:tcPr>
          <w:p w14:paraId="5F7C2E4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single" w:color="auto" w:sz="4" w:space="0"/>
              <w:left w:val="nil"/>
              <w:bottom w:val="nil"/>
              <w:right w:val="nil"/>
            </w:tcBorders>
            <w:noWrap/>
            <w:vAlign w:val="center"/>
          </w:tcPr>
          <w:p w14:paraId="0C5C1D8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single" w:color="auto" w:sz="4" w:space="0"/>
              <w:left w:val="nil"/>
              <w:bottom w:val="nil"/>
              <w:right w:val="nil"/>
            </w:tcBorders>
            <w:noWrap/>
            <w:vAlign w:val="center"/>
          </w:tcPr>
          <w:p w14:paraId="31BAF91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single" w:color="auto" w:sz="4" w:space="0"/>
              <w:left w:val="nil"/>
              <w:bottom w:val="nil"/>
              <w:right w:val="nil"/>
            </w:tcBorders>
            <w:noWrap/>
            <w:vAlign w:val="center"/>
          </w:tcPr>
          <w:p w14:paraId="5AD8DB6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1D4D0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174002B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农、林、牧、渔业</w:t>
            </w:r>
          </w:p>
        </w:tc>
        <w:tc>
          <w:tcPr>
            <w:tcW w:w="1244" w:type="dxa"/>
            <w:tcBorders>
              <w:top w:val="nil"/>
              <w:left w:val="single" w:color="auto" w:sz="4" w:space="0"/>
              <w:bottom w:val="nil"/>
              <w:right w:val="nil"/>
            </w:tcBorders>
            <w:noWrap/>
            <w:vAlign w:val="center"/>
          </w:tcPr>
          <w:p w14:paraId="324DFE2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B29186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78D37EF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A6F0CF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5B79A0A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9A5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BDF5B51">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其中：渔船船员</w:t>
            </w:r>
          </w:p>
        </w:tc>
        <w:tc>
          <w:tcPr>
            <w:tcW w:w="1244" w:type="dxa"/>
            <w:tcBorders>
              <w:top w:val="nil"/>
              <w:left w:val="single" w:color="auto" w:sz="4" w:space="0"/>
              <w:bottom w:val="nil"/>
              <w:right w:val="nil"/>
            </w:tcBorders>
            <w:noWrap/>
            <w:vAlign w:val="center"/>
          </w:tcPr>
          <w:p w14:paraId="40F9DBC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55F8CE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7573745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377B5A4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0DD5F1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0F1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08AB85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农业种植</w:t>
            </w:r>
          </w:p>
        </w:tc>
        <w:tc>
          <w:tcPr>
            <w:tcW w:w="1244" w:type="dxa"/>
            <w:tcBorders>
              <w:top w:val="nil"/>
              <w:left w:val="single" w:color="auto" w:sz="4" w:space="0"/>
              <w:bottom w:val="nil"/>
              <w:right w:val="nil"/>
            </w:tcBorders>
            <w:noWrap/>
            <w:vAlign w:val="center"/>
          </w:tcPr>
          <w:p w14:paraId="109BAD2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C3DA3B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48D7B7F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EB39E6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A6C0E6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615F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8CD933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采矿业</w:t>
            </w:r>
          </w:p>
        </w:tc>
        <w:tc>
          <w:tcPr>
            <w:tcW w:w="1244" w:type="dxa"/>
            <w:tcBorders>
              <w:top w:val="nil"/>
              <w:left w:val="single" w:color="auto" w:sz="4" w:space="0"/>
              <w:bottom w:val="nil"/>
              <w:right w:val="nil"/>
            </w:tcBorders>
            <w:noWrap/>
            <w:vAlign w:val="center"/>
          </w:tcPr>
          <w:p w14:paraId="22D80BB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C75047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56389CE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186B7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709039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B760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2EFE9E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制造业</w:t>
            </w:r>
          </w:p>
        </w:tc>
        <w:tc>
          <w:tcPr>
            <w:tcW w:w="1244" w:type="dxa"/>
            <w:tcBorders>
              <w:top w:val="nil"/>
              <w:left w:val="single" w:color="auto" w:sz="4" w:space="0"/>
              <w:bottom w:val="nil"/>
              <w:right w:val="nil"/>
            </w:tcBorders>
            <w:noWrap/>
            <w:vAlign w:val="center"/>
          </w:tcPr>
          <w:p w14:paraId="0601381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1EAB732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6BB3C88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CD0ECD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43A4917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4BE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74906D0D">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其中：纺织服装</w:t>
            </w:r>
          </w:p>
        </w:tc>
        <w:tc>
          <w:tcPr>
            <w:tcW w:w="1244" w:type="dxa"/>
            <w:tcBorders>
              <w:top w:val="nil"/>
              <w:left w:val="single" w:color="auto" w:sz="4" w:space="0"/>
              <w:bottom w:val="nil"/>
              <w:right w:val="nil"/>
            </w:tcBorders>
            <w:noWrap/>
            <w:vAlign w:val="center"/>
          </w:tcPr>
          <w:p w14:paraId="35F0759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7CFCD9D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64A078E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38ACB4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6638A7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B82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E931EE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电子产品</w:t>
            </w:r>
          </w:p>
        </w:tc>
        <w:tc>
          <w:tcPr>
            <w:tcW w:w="1244" w:type="dxa"/>
            <w:tcBorders>
              <w:top w:val="nil"/>
              <w:left w:val="single" w:color="auto" w:sz="4" w:space="0"/>
              <w:bottom w:val="nil"/>
              <w:right w:val="nil"/>
            </w:tcBorders>
            <w:noWrap/>
            <w:vAlign w:val="center"/>
          </w:tcPr>
          <w:p w14:paraId="7092C74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6CE77F9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721380C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6C3C32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431FCE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506F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102E0D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食品加工</w:t>
            </w:r>
          </w:p>
        </w:tc>
        <w:tc>
          <w:tcPr>
            <w:tcW w:w="1244" w:type="dxa"/>
            <w:tcBorders>
              <w:top w:val="nil"/>
              <w:left w:val="single" w:color="auto" w:sz="4" w:space="0"/>
              <w:bottom w:val="nil"/>
              <w:right w:val="nil"/>
            </w:tcBorders>
            <w:noWrap/>
            <w:vAlign w:val="center"/>
          </w:tcPr>
          <w:p w14:paraId="345175A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2F4927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9B401F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F2255D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60F1B78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D26E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691633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机械制造</w:t>
            </w:r>
          </w:p>
        </w:tc>
        <w:tc>
          <w:tcPr>
            <w:tcW w:w="1244" w:type="dxa"/>
            <w:tcBorders>
              <w:top w:val="nil"/>
              <w:left w:val="single" w:color="auto" w:sz="4" w:space="0"/>
              <w:bottom w:val="nil"/>
              <w:right w:val="nil"/>
            </w:tcBorders>
            <w:noWrap/>
            <w:vAlign w:val="center"/>
          </w:tcPr>
          <w:p w14:paraId="5138E8B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57D044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3A1430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46833C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89D447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93D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25CA976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建筑业</w:t>
            </w:r>
          </w:p>
        </w:tc>
        <w:tc>
          <w:tcPr>
            <w:tcW w:w="1244" w:type="dxa"/>
            <w:tcBorders>
              <w:top w:val="nil"/>
              <w:left w:val="single" w:color="auto" w:sz="4" w:space="0"/>
              <w:bottom w:val="nil"/>
              <w:right w:val="nil"/>
            </w:tcBorders>
            <w:noWrap/>
            <w:vAlign w:val="center"/>
          </w:tcPr>
          <w:p w14:paraId="7274815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276464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3DADBF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FC3204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7DD3A0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6BD4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2DBD483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批发和零售业</w:t>
            </w:r>
          </w:p>
        </w:tc>
        <w:tc>
          <w:tcPr>
            <w:tcW w:w="1244" w:type="dxa"/>
            <w:tcBorders>
              <w:top w:val="nil"/>
              <w:left w:val="single" w:color="auto" w:sz="4" w:space="0"/>
              <w:bottom w:val="nil"/>
              <w:right w:val="nil"/>
            </w:tcBorders>
            <w:noWrap/>
            <w:vAlign w:val="center"/>
          </w:tcPr>
          <w:p w14:paraId="7DEEFEE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E1D3EA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C015B2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64DB023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A2FEB2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F79A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1C677D4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交通运输、仓储和邮政业</w:t>
            </w:r>
          </w:p>
        </w:tc>
        <w:tc>
          <w:tcPr>
            <w:tcW w:w="1244" w:type="dxa"/>
            <w:tcBorders>
              <w:top w:val="nil"/>
              <w:left w:val="single" w:color="auto" w:sz="4" w:space="0"/>
              <w:bottom w:val="nil"/>
              <w:right w:val="nil"/>
            </w:tcBorders>
            <w:noWrap/>
            <w:vAlign w:val="center"/>
          </w:tcPr>
          <w:p w14:paraId="17CA1F5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B29920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BA335E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67A6B5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6929CE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6B2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3B8D93E8">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其中：海员</w:t>
            </w:r>
          </w:p>
        </w:tc>
        <w:tc>
          <w:tcPr>
            <w:tcW w:w="1244" w:type="dxa"/>
            <w:tcBorders>
              <w:top w:val="nil"/>
              <w:left w:val="single" w:color="auto" w:sz="4" w:space="0"/>
              <w:bottom w:val="nil"/>
              <w:right w:val="nil"/>
            </w:tcBorders>
            <w:noWrap/>
            <w:vAlign w:val="center"/>
          </w:tcPr>
          <w:p w14:paraId="13FDC9D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E2EF8F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2FE89B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21650D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59ADEA8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ED1D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147A03E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空乘人员</w:t>
            </w:r>
          </w:p>
        </w:tc>
        <w:tc>
          <w:tcPr>
            <w:tcW w:w="1244" w:type="dxa"/>
            <w:tcBorders>
              <w:top w:val="nil"/>
              <w:left w:val="single" w:color="auto" w:sz="4" w:space="0"/>
              <w:bottom w:val="nil"/>
              <w:right w:val="nil"/>
            </w:tcBorders>
            <w:noWrap/>
            <w:vAlign w:val="center"/>
          </w:tcPr>
          <w:p w14:paraId="718DAD2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AA9E0C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4740481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742C116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00C083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1E39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1B2E27E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住宿和餐饮业</w:t>
            </w:r>
          </w:p>
        </w:tc>
        <w:tc>
          <w:tcPr>
            <w:tcW w:w="1244" w:type="dxa"/>
            <w:tcBorders>
              <w:top w:val="nil"/>
              <w:left w:val="single" w:color="auto" w:sz="4" w:space="0"/>
              <w:bottom w:val="nil"/>
              <w:right w:val="nil"/>
            </w:tcBorders>
            <w:noWrap/>
            <w:vAlign w:val="center"/>
          </w:tcPr>
          <w:p w14:paraId="0BD8F62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EEB2DF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B50E6B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DE5455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A419D6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3D8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BE3BC25">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其中：厨师</w:t>
            </w:r>
          </w:p>
        </w:tc>
        <w:tc>
          <w:tcPr>
            <w:tcW w:w="1244" w:type="dxa"/>
            <w:tcBorders>
              <w:top w:val="nil"/>
              <w:left w:val="single" w:color="auto" w:sz="4" w:space="0"/>
              <w:bottom w:val="nil"/>
              <w:right w:val="nil"/>
            </w:tcBorders>
            <w:noWrap/>
            <w:vAlign w:val="center"/>
          </w:tcPr>
          <w:p w14:paraId="0FEFB66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DEB230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CEA770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725200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593473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86A7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42B78E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信息传输、软件和信息技术服务业</w:t>
            </w:r>
          </w:p>
        </w:tc>
        <w:tc>
          <w:tcPr>
            <w:tcW w:w="1244" w:type="dxa"/>
            <w:tcBorders>
              <w:top w:val="nil"/>
              <w:left w:val="single" w:color="auto" w:sz="4" w:space="0"/>
              <w:bottom w:val="nil"/>
              <w:right w:val="nil"/>
            </w:tcBorders>
            <w:noWrap/>
            <w:vAlign w:val="center"/>
          </w:tcPr>
          <w:p w14:paraId="0259F15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84EFBA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1BB3F8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686753C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5385318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775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76F44F8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居民服务、修理和其他服务业</w:t>
            </w:r>
          </w:p>
        </w:tc>
        <w:tc>
          <w:tcPr>
            <w:tcW w:w="1244" w:type="dxa"/>
            <w:tcBorders>
              <w:top w:val="nil"/>
              <w:left w:val="single" w:color="auto" w:sz="4" w:space="0"/>
              <w:bottom w:val="nil"/>
              <w:right w:val="nil"/>
            </w:tcBorders>
            <w:noWrap/>
            <w:vAlign w:val="center"/>
          </w:tcPr>
          <w:p w14:paraId="738049C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6EFD18C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52A6442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571054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C3AA54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6C4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C864279">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其中：家政服务</w:t>
            </w:r>
          </w:p>
        </w:tc>
        <w:tc>
          <w:tcPr>
            <w:tcW w:w="1244" w:type="dxa"/>
            <w:tcBorders>
              <w:top w:val="nil"/>
              <w:left w:val="single" w:color="auto" w:sz="4" w:space="0"/>
              <w:bottom w:val="nil"/>
              <w:right w:val="nil"/>
            </w:tcBorders>
            <w:noWrap/>
            <w:vAlign w:val="center"/>
          </w:tcPr>
          <w:p w14:paraId="4163690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13325C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80B7D3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6939B56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E818AE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1CD4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2C09D18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卫生和社会工作</w:t>
            </w:r>
          </w:p>
        </w:tc>
        <w:tc>
          <w:tcPr>
            <w:tcW w:w="1244" w:type="dxa"/>
            <w:tcBorders>
              <w:top w:val="nil"/>
              <w:left w:val="single" w:color="auto" w:sz="4" w:space="0"/>
              <w:bottom w:val="nil"/>
              <w:right w:val="nil"/>
            </w:tcBorders>
            <w:noWrap/>
            <w:vAlign w:val="center"/>
          </w:tcPr>
          <w:p w14:paraId="41CAD8D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9DC4D1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5A6832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69CEE1E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5960632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29F3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74F26F1A">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其中：护士</w:t>
            </w:r>
          </w:p>
        </w:tc>
        <w:tc>
          <w:tcPr>
            <w:tcW w:w="1244" w:type="dxa"/>
            <w:tcBorders>
              <w:top w:val="nil"/>
              <w:left w:val="single" w:color="auto" w:sz="4" w:space="0"/>
              <w:bottom w:val="nil"/>
              <w:right w:val="nil"/>
            </w:tcBorders>
            <w:noWrap/>
            <w:vAlign w:val="center"/>
          </w:tcPr>
          <w:p w14:paraId="3E0BD6F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AF49B4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4B94EB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293CB1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0D4D52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1CF3E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0770E1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文化、体育和娱乐业</w:t>
            </w:r>
          </w:p>
        </w:tc>
        <w:tc>
          <w:tcPr>
            <w:tcW w:w="1244" w:type="dxa"/>
            <w:tcBorders>
              <w:top w:val="nil"/>
              <w:left w:val="single" w:color="auto" w:sz="4" w:space="0"/>
              <w:bottom w:val="nil"/>
              <w:right w:val="nil"/>
            </w:tcBorders>
            <w:noWrap/>
            <w:vAlign w:val="center"/>
          </w:tcPr>
          <w:p w14:paraId="747E17B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751318E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3284F00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C74167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8E2ED9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23E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90" w:hRule="atLeast"/>
        </w:trPr>
        <w:tc>
          <w:tcPr>
            <w:tcW w:w="2913" w:type="dxa"/>
            <w:tcBorders>
              <w:top w:val="nil"/>
              <w:left w:val="nil"/>
              <w:bottom w:val="single" w:color="auto" w:sz="8" w:space="0"/>
              <w:right w:val="single" w:color="auto" w:sz="4" w:space="0"/>
            </w:tcBorders>
            <w:noWrap/>
            <w:vAlign w:val="center"/>
          </w:tcPr>
          <w:p w14:paraId="750CEC9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其他</w:t>
            </w:r>
          </w:p>
        </w:tc>
        <w:tc>
          <w:tcPr>
            <w:tcW w:w="1244" w:type="dxa"/>
            <w:tcBorders>
              <w:top w:val="nil"/>
              <w:left w:val="single" w:color="auto" w:sz="4" w:space="0"/>
              <w:bottom w:val="single" w:color="auto" w:sz="8" w:space="0"/>
              <w:right w:val="nil"/>
            </w:tcBorders>
            <w:noWrap/>
            <w:vAlign w:val="center"/>
          </w:tcPr>
          <w:p w14:paraId="651D114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single" w:color="auto" w:sz="8" w:space="0"/>
              <w:right w:val="nil"/>
            </w:tcBorders>
            <w:noWrap/>
            <w:vAlign w:val="center"/>
          </w:tcPr>
          <w:p w14:paraId="053354C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single" w:color="auto" w:sz="8" w:space="0"/>
              <w:right w:val="nil"/>
            </w:tcBorders>
            <w:noWrap/>
            <w:vAlign w:val="center"/>
          </w:tcPr>
          <w:p w14:paraId="03EA615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single" w:color="auto" w:sz="8" w:space="0"/>
              <w:right w:val="nil"/>
            </w:tcBorders>
            <w:noWrap/>
            <w:vAlign w:val="center"/>
          </w:tcPr>
          <w:p w14:paraId="47416B9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single" w:color="auto" w:sz="8" w:space="0"/>
              <w:right w:val="nil"/>
            </w:tcBorders>
            <w:noWrap/>
            <w:vAlign w:val="center"/>
          </w:tcPr>
          <w:p w14:paraId="3EA15B3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11DA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single" w:color="auto" w:sz="8" w:space="0"/>
              <w:left w:val="nil"/>
              <w:bottom w:val="nil"/>
              <w:right w:val="nil"/>
            </w:tcBorders>
            <w:noWrap/>
            <w:vAlign w:val="center"/>
          </w:tcPr>
          <w:p w14:paraId="1F827165">
            <w:pPr>
              <w:widowControl/>
              <w:jc w:val="left"/>
              <w:rPr>
                <w:rFonts w:hint="eastAsia" w:ascii="宋体" w:hAnsi="宋体" w:cs="宋体"/>
                <w:color w:val="000000"/>
                <w:kern w:val="0"/>
                <w:sz w:val="18"/>
                <w:szCs w:val="18"/>
                <w:lang w:val="en-US" w:eastAsia="zh-CN"/>
              </w:rPr>
            </w:pPr>
            <w:r>
              <w:rPr>
                <w:rFonts w:hint="eastAsia" w:ascii="宋体" w:hAnsi="宋体" w:cs="宋体"/>
                <w:i w:val="0"/>
                <w:iCs w:val="0"/>
                <w:color w:val="000000"/>
                <w:kern w:val="0"/>
                <w:sz w:val="18"/>
                <w:szCs w:val="18"/>
                <w:u w:val="none"/>
                <w:lang w:val="en-US" w:eastAsia="zh-CN" w:bidi="ar"/>
              </w:rPr>
              <w:t xml:space="preserve">填报人：                 </w:t>
            </w:r>
            <w:r>
              <w:rPr>
                <w:rFonts w:hint="eastAsia" w:ascii="宋体" w:hAnsi="宋体" w:eastAsia="宋体" w:cs="宋体"/>
                <w:i w:val="0"/>
                <w:iCs w:val="0"/>
                <w:color w:val="000000"/>
                <w:kern w:val="0"/>
                <w:sz w:val="18"/>
                <w:szCs w:val="18"/>
                <w:u w:val="none"/>
                <w:lang w:val="en-US" w:eastAsia="zh-CN" w:bidi="ar"/>
              </w:rPr>
              <w:t>单位负责人：                      联系电话：          报出日期：２０  年  月   日</w:t>
            </w:r>
          </w:p>
          <w:p w14:paraId="5A3548E0">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说明：1.本表综合反映报告月份对外劳务合作项目人员构成及变动情况。</w:t>
            </w:r>
          </w:p>
        </w:tc>
      </w:tr>
      <w:tr w14:paraId="3F9A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nil"/>
              <w:left w:val="nil"/>
              <w:bottom w:val="nil"/>
              <w:right w:val="nil"/>
            </w:tcBorders>
            <w:noWrap/>
            <w:vAlign w:val="center"/>
          </w:tcPr>
          <w:p w14:paraId="6910700B">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 xml:space="preserve">      2.本表由企业于月后10日内通过网络传输报送。   </w:t>
            </w:r>
          </w:p>
        </w:tc>
      </w:tr>
      <w:tr w14:paraId="164E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nil"/>
              <w:left w:val="nil"/>
              <w:bottom w:val="nil"/>
              <w:right w:val="nil"/>
            </w:tcBorders>
            <w:noWrap w:val="0"/>
            <w:vAlign w:val="center"/>
          </w:tcPr>
          <w:p w14:paraId="30B1FE08">
            <w:pPr>
              <w:widowControl/>
              <w:jc w:val="left"/>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 xml:space="preserve">      3.上月末在外人数（1）除初次填写外，后续月份由上期数据结转，本月末在外人数由系统根据其余几项指标数据自动计算获取（2）=（1）+（3）-（4）+或-（5）。</w:t>
            </w:r>
            <w:r>
              <w:rPr>
                <w:rFonts w:hint="eastAsia" w:ascii="宋体" w:hAnsi="宋体" w:cs="宋体"/>
                <w:color w:val="000000"/>
                <w:kern w:val="0"/>
                <w:sz w:val="18"/>
                <w:szCs w:val="18"/>
                <w:lang w:val="en-US" w:eastAsia="zh-CN"/>
              </w:rPr>
              <w:br w:type="textWrapping"/>
            </w:r>
            <w:r>
              <w:rPr>
                <w:rFonts w:hint="eastAsia" w:ascii="宋体" w:hAnsi="宋体" w:cs="宋体"/>
                <w:color w:val="000000"/>
                <w:kern w:val="0"/>
                <w:sz w:val="18"/>
                <w:szCs w:val="18"/>
                <w:lang w:val="en-US" w:eastAsia="zh-CN"/>
              </w:rPr>
              <w:t xml:space="preserve">      4.国家（地区）间流动人员增减：是指已在外的对外劳务合作人员在不同国家（地区）和项目间增减变化数量。从其他国家（地区）或项目流入本项目人员数量计增加（正值），从本项目转到其他国家（地区）或项目的人员计减少（负值）。</w:t>
            </w:r>
          </w:p>
        </w:tc>
      </w:tr>
    </w:tbl>
    <w:p w14:paraId="6308F4D2">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黑体" w:eastAsia="黑体"/>
          <w:sz w:val="32"/>
          <w:szCs w:val="32"/>
        </w:rPr>
      </w:pPr>
      <w:bookmarkStart w:id="99" w:name="_Toc313396845"/>
      <w:bookmarkStart w:id="100" w:name="_Toc1960755348"/>
      <w:bookmarkStart w:id="101" w:name="_Toc85129111"/>
      <w:bookmarkStart w:id="102" w:name="_Toc1985428821"/>
      <w:r>
        <w:rPr>
          <w:rFonts w:hint="eastAsia" w:ascii="黑体" w:eastAsia="黑体"/>
          <w:sz w:val="32"/>
          <w:szCs w:val="32"/>
        </w:rPr>
        <w:br w:type="column"/>
      </w:r>
      <w:r>
        <w:rPr>
          <w:rFonts w:hint="eastAsia" w:ascii="黑体" w:eastAsia="黑体"/>
          <w:sz w:val="32"/>
          <w:szCs w:val="32"/>
          <w:lang w:eastAsia="zh-CN"/>
        </w:rPr>
        <w:t>四、</w:t>
      </w:r>
      <w:r>
        <w:rPr>
          <w:rFonts w:hint="eastAsia" w:ascii="黑体" w:eastAsia="黑体"/>
          <w:sz w:val="32"/>
          <w:szCs w:val="32"/>
        </w:rPr>
        <w:t>主要指标解释</w:t>
      </w:r>
      <w:bookmarkEnd w:id="95"/>
      <w:bookmarkEnd w:id="96"/>
      <w:bookmarkEnd w:id="97"/>
      <w:bookmarkEnd w:id="98"/>
      <w:bookmarkEnd w:id="99"/>
      <w:bookmarkEnd w:id="100"/>
      <w:bookmarkEnd w:id="101"/>
      <w:bookmarkEnd w:id="102"/>
    </w:p>
    <w:p w14:paraId="0F675B50">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hint="eastAsia" w:ascii="黑体" w:hAnsi="黑体" w:eastAsia="黑体" w:cs="黑体"/>
          <w:b w:val="0"/>
          <w:bCs/>
          <w:kern w:val="0"/>
          <w:szCs w:val="21"/>
        </w:rPr>
      </w:pPr>
    </w:p>
    <w:p w14:paraId="6A094BA9">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color w:val="000000"/>
          <w:szCs w:val="21"/>
        </w:rPr>
      </w:pPr>
      <w:r>
        <w:rPr>
          <w:rFonts w:hint="default" w:ascii="Times New Roman" w:hAnsi="Times New Roman" w:eastAsia="黑体" w:cs="Times New Roman"/>
          <w:b w:val="0"/>
          <w:bCs/>
          <w:kern w:val="0"/>
          <w:szCs w:val="21"/>
        </w:rPr>
        <w:t>1</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对外劳务合作的统计界定</w:t>
      </w:r>
      <w:r>
        <w:rPr>
          <w:rFonts w:hint="default" w:ascii="Times New Roman" w:hAnsi="Times New Roman" w:eastAsia="黑体" w:cs="Times New Roman"/>
          <w:b/>
          <w:kern w:val="0"/>
          <w:szCs w:val="21"/>
          <w:lang w:val="en-US" w:eastAsia="zh-CN"/>
        </w:rPr>
        <w:t xml:space="preserve">  </w:t>
      </w:r>
      <w:r>
        <w:rPr>
          <w:rFonts w:hint="default" w:ascii="Times New Roman" w:hAnsi="Times New Roman" w:cs="Times New Roman"/>
          <w:kern w:val="0"/>
          <w:szCs w:val="21"/>
        </w:rPr>
        <w:t>对外劳务合作</w:t>
      </w:r>
      <w:r>
        <w:rPr>
          <w:rFonts w:hint="default" w:ascii="Times New Roman" w:hAnsi="Times New Roman" w:cs="Times New Roman"/>
          <w:bCs/>
          <w:kern w:val="0"/>
          <w:szCs w:val="21"/>
        </w:rPr>
        <w:t>指组织劳务人员赴其他国家或地区为国（境）外的企业或机构工作的经营性活动。 对外劳务合作人员行业一级分类执行国民经济经济行业分类和代码（</w:t>
      </w:r>
      <w:r>
        <w:rPr>
          <w:rFonts w:hint="default" w:ascii="Times New Roman" w:hAnsi="Times New Roman" w:cs="Times New Roman"/>
          <w:bCs/>
          <w:color w:val="000000"/>
          <w:szCs w:val="21"/>
        </w:rPr>
        <w:t>GB/T 4754-2017)，二级细类根据业务情况划分。</w:t>
      </w:r>
    </w:p>
    <w:p w14:paraId="44E04EBD">
      <w:pPr>
        <w:keepNext w:val="0"/>
        <w:keepLines w:val="0"/>
        <w:pageBreakBefore w:val="0"/>
        <w:kinsoku/>
        <w:wordWrap/>
        <w:overflowPunct/>
        <w:topLinePunct w:val="0"/>
        <w:autoSpaceDE/>
        <w:autoSpaceDN/>
        <w:bidi w:val="0"/>
        <w:adjustRightInd w:val="0"/>
        <w:snapToGrid w:val="0"/>
        <w:spacing w:line="312" w:lineRule="auto"/>
        <w:ind w:right="-40" w:rightChars="-19" w:firstLine="415" w:firstLineChars="198"/>
        <w:jc w:val="left"/>
        <w:textAlignment w:val="auto"/>
        <w:rPr>
          <w:rFonts w:hint="default" w:ascii="Times New Roman" w:hAnsi="Times New Roman" w:cs="Times New Roman"/>
          <w:bCs/>
          <w:kern w:val="0"/>
          <w:szCs w:val="21"/>
        </w:rPr>
      </w:pPr>
      <w:r>
        <w:rPr>
          <w:rFonts w:hint="default" w:ascii="Times New Roman" w:hAnsi="Times New Roman" w:eastAsia="黑体" w:cs="Times New Roman"/>
          <w:b w:val="0"/>
          <w:bCs/>
          <w:kern w:val="0"/>
          <w:szCs w:val="21"/>
        </w:rPr>
        <w:t>2</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统一社会信用代码</w:t>
      </w:r>
      <w:r>
        <w:rPr>
          <w:rFonts w:hint="default" w:ascii="Times New Roman" w:hAnsi="Times New Roman" w:eastAsia="黑体" w:cs="Times New Roman"/>
          <w:b/>
          <w:kern w:val="0"/>
          <w:szCs w:val="21"/>
          <w:lang w:val="en-US" w:eastAsia="zh-CN"/>
        </w:rPr>
        <w:t xml:space="preserve">  </w:t>
      </w:r>
      <w:r>
        <w:rPr>
          <w:rFonts w:hint="default" w:ascii="Times New Roman" w:hAnsi="Times New Roman" w:cs="Times New Roman"/>
          <w:bCs/>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w:t>
      </w:r>
    </w:p>
    <w:p w14:paraId="2C40739D">
      <w:pPr>
        <w:keepNext w:val="0"/>
        <w:keepLines w:val="0"/>
        <w:pageBreakBefore w:val="0"/>
        <w:kinsoku/>
        <w:wordWrap/>
        <w:overflowPunct/>
        <w:topLinePunct w:val="0"/>
        <w:autoSpaceDE/>
        <w:autoSpaceDN/>
        <w:bidi w:val="0"/>
        <w:adjustRightInd w:val="0"/>
        <w:snapToGrid w:val="0"/>
        <w:spacing w:line="312" w:lineRule="auto"/>
        <w:ind w:right="-40" w:rightChars="-19" w:firstLine="415" w:firstLineChars="198"/>
        <w:jc w:val="left"/>
        <w:textAlignment w:val="auto"/>
        <w:rPr>
          <w:rFonts w:ascii="Times New Roman" w:hAnsi="Times New Roman" w:cs="Times New Roman"/>
          <w:bCs/>
          <w:color w:val="000000"/>
          <w:szCs w:val="21"/>
        </w:rPr>
      </w:pPr>
      <w:r>
        <w:rPr>
          <w:rFonts w:hint="default" w:ascii="Times New Roman" w:hAnsi="Times New Roman" w:cs="Times New Roman"/>
          <w:bCs/>
          <w:kern w:val="0"/>
          <w:szCs w:val="21"/>
        </w:rPr>
        <w:t>已经领取了统一社会信用代码的法人单位和产业活动单位必须填写统一社会信用代码。在填写时，要按照《营业执照》（证书）上的统一社会信用代码填写。</w:t>
      </w:r>
    </w:p>
    <w:p w14:paraId="620D6654">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3</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外方签约单位</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指与企业签订对外劳务合作合同的国（境）外企业名称，外方签约单位若是中资企业，需在统计系统中明确中资企业的境内投资者名称。</w:t>
      </w:r>
    </w:p>
    <w:p w14:paraId="53F2CAAB">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4</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雇主名称</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指劳务人员工作的最终雇主。</w:t>
      </w:r>
    </w:p>
    <w:p w14:paraId="6ABB8399">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5</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签约日期</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指企业与国（境）外雇主签订合同的日期。</w:t>
      </w:r>
    </w:p>
    <w:p w14:paraId="39E2A8EB">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6</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派出人数</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 xml:space="preserve">指企业在报告期内派往国（境）外执行对外劳务合作项目的人数。 </w:t>
      </w:r>
    </w:p>
    <w:p w14:paraId="514CC17B">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7</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月末在外人数</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 xml:space="preserve">指报告期末企业在国（境）外执行对外劳务合作项目的人数。 </w:t>
      </w:r>
    </w:p>
    <w:p w14:paraId="0EB6BFCD">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8</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新签对外劳务人员合同工资总额</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指企业与外方签约单位或雇主订立书面合同文本中所规定的对外劳务人员工资总额。</w:t>
      </w:r>
    </w:p>
    <w:p w14:paraId="012B459A">
      <w:pPr>
        <w:keepNext w:val="0"/>
        <w:keepLines w:val="0"/>
        <w:pageBreakBefore w:val="0"/>
        <w:widowControl/>
        <w:kinsoku/>
        <w:wordWrap/>
        <w:overflowPunct/>
        <w:topLinePunct w:val="0"/>
        <w:autoSpaceDE/>
        <w:autoSpaceDN/>
        <w:bidi w:val="0"/>
        <w:adjustRightInd w:val="0"/>
        <w:snapToGrid w:val="0"/>
        <w:spacing w:line="312" w:lineRule="auto"/>
        <w:ind w:firstLine="180"/>
        <w:jc w:val="left"/>
        <w:textAlignment w:val="auto"/>
        <w:rPr>
          <w:rFonts w:ascii="Times New Roman" w:hAnsi="Times New Roman" w:cs="Times New Roman"/>
          <w:szCs w:val="21"/>
        </w:rPr>
      </w:pPr>
      <w:r>
        <w:rPr>
          <w:rFonts w:hint="default" w:ascii="Times New Roman" w:hAnsi="Times New Roman" w:cs="Times New Roman"/>
          <w:bCs/>
          <w:szCs w:val="21"/>
        </w:rPr>
        <w:t xml:space="preserve">  </w:t>
      </w:r>
      <w:r>
        <w:rPr>
          <w:rFonts w:hint="default" w:ascii="Times New Roman" w:hAnsi="Times New Roman" w:cs="Times New Roman"/>
          <w:szCs w:val="21"/>
        </w:rPr>
        <w:t>派往日本的研修生，其新签</w:t>
      </w:r>
      <w:r>
        <w:rPr>
          <w:rFonts w:hint="default" w:ascii="Times New Roman" w:hAnsi="Times New Roman" w:cs="Times New Roman"/>
          <w:kern w:val="0"/>
          <w:szCs w:val="21"/>
        </w:rPr>
        <w:t>合同工资总额</w:t>
      </w:r>
      <w:r>
        <w:rPr>
          <w:rFonts w:hint="default" w:ascii="Times New Roman" w:hAnsi="Times New Roman" w:cs="Times New Roman"/>
          <w:szCs w:val="21"/>
        </w:rPr>
        <w:t>按日本国劳动基准法规定的本国人均月生活水准金额乘以合同月数乘以人数计算。</w:t>
      </w:r>
    </w:p>
    <w:p w14:paraId="071EC5D4">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kern w:val="0"/>
          <w:szCs w:val="21"/>
        </w:rPr>
      </w:pP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以美元作为计算单位。以非美元计价的，若合同规定了对美元折算率，其</w:t>
      </w: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 xml:space="preserve">按合同规定的折算率折合美元计算统计；若合同未规定对美元折算率，须按所签合同生效当日所在国家（地区）官方规定的合同计价货币对美元折算率的中间价折合美元计算统计。 </w:t>
      </w:r>
    </w:p>
    <w:p w14:paraId="72152D43">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发生变更，应根据</w:t>
      </w:r>
      <w:r>
        <w:rPr>
          <w:rFonts w:hint="default" w:ascii="Times New Roman" w:hAnsi="Times New Roman" w:cs="Times New Roman"/>
          <w:bCs/>
          <w:kern w:val="0"/>
          <w:szCs w:val="21"/>
          <w:lang w:eastAsia="zh-CN"/>
        </w:rPr>
        <w:t>实际情况</w:t>
      </w:r>
      <w:r>
        <w:rPr>
          <w:rFonts w:hint="default" w:ascii="Times New Roman" w:hAnsi="Times New Roman" w:cs="Times New Roman"/>
          <w:bCs/>
          <w:kern w:val="0"/>
          <w:szCs w:val="21"/>
        </w:rPr>
        <w:t>在本年度下一报告期调整，并加以</w:t>
      </w:r>
      <w:r>
        <w:rPr>
          <w:rFonts w:hint="default" w:ascii="Times New Roman" w:hAnsi="Times New Roman" w:cs="Times New Roman"/>
          <w:bCs/>
          <w:kern w:val="0"/>
          <w:szCs w:val="21"/>
          <w:lang w:eastAsia="zh-CN"/>
        </w:rPr>
        <w:t>备注</w:t>
      </w:r>
      <w:r>
        <w:rPr>
          <w:rFonts w:hint="default" w:ascii="Times New Roman" w:hAnsi="Times New Roman" w:cs="Times New Roman"/>
          <w:bCs/>
          <w:kern w:val="0"/>
          <w:szCs w:val="21"/>
        </w:rPr>
        <w:t>说明。以往年度的合同发生变更，在本年度和历史统计资料中均不予调整。</w:t>
      </w:r>
    </w:p>
    <w:p w14:paraId="3F1C0D7B">
      <w:pPr>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9</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对外劳务人员实际收入总额</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szCs w:val="21"/>
        </w:rPr>
        <w:t>报告期</w:t>
      </w:r>
      <w:r>
        <w:rPr>
          <w:rFonts w:hint="default" w:ascii="Times New Roman" w:hAnsi="Times New Roman" w:cs="Times New Roman"/>
          <w:bCs/>
          <w:kern w:val="0"/>
          <w:szCs w:val="21"/>
        </w:rPr>
        <w:t>国（境）外签约单位或雇主直接向劳务人员支付的工资、加班费、津贴和奖金等的各种收入的总额。</w:t>
      </w:r>
      <w:r>
        <w:rPr>
          <w:rFonts w:hint="default" w:ascii="Times New Roman" w:hAnsi="Times New Roman" w:cs="Times New Roman"/>
          <w:bCs/>
          <w:kern w:val="0"/>
          <w:szCs w:val="21"/>
          <w:lang w:eastAsia="zh-CN"/>
        </w:rPr>
        <w:t>该数据获取困难的，可填报</w:t>
      </w:r>
      <w:r>
        <w:rPr>
          <w:rFonts w:hint="default" w:ascii="Times New Roman" w:hAnsi="Times New Roman" w:cs="Times New Roman"/>
          <w:bCs/>
          <w:kern w:val="0"/>
          <w:szCs w:val="21"/>
        </w:rPr>
        <w:t>根据合同规定的</w:t>
      </w:r>
      <w:r>
        <w:rPr>
          <w:rFonts w:hint="default" w:ascii="Times New Roman" w:hAnsi="Times New Roman" w:cs="Times New Roman"/>
          <w:bCs/>
          <w:kern w:val="0"/>
          <w:szCs w:val="21"/>
          <w:lang w:eastAsia="zh-CN"/>
        </w:rPr>
        <w:t>报告期</w:t>
      </w:r>
      <w:r>
        <w:rPr>
          <w:rFonts w:hint="default" w:ascii="Times New Roman" w:hAnsi="Times New Roman" w:cs="Times New Roman"/>
          <w:bCs/>
          <w:kern w:val="0"/>
          <w:szCs w:val="21"/>
        </w:rPr>
        <w:t>对外劳务人员工资标准</w:t>
      </w:r>
      <w:r>
        <w:rPr>
          <w:rFonts w:hint="default" w:ascii="Times New Roman" w:hAnsi="Times New Roman" w:cs="Times New Roman"/>
          <w:bCs/>
          <w:kern w:val="0"/>
          <w:szCs w:val="21"/>
          <w:lang w:eastAsia="zh-CN"/>
        </w:rPr>
        <w:t>（</w:t>
      </w:r>
      <w:r>
        <w:rPr>
          <w:rFonts w:hint="default" w:ascii="Times New Roman" w:hAnsi="Times New Roman" w:cs="Times New Roman"/>
          <w:bCs/>
          <w:kern w:val="0"/>
          <w:szCs w:val="21"/>
        </w:rPr>
        <w:t>含工资、奖金、津贴等</w:t>
      </w:r>
      <w:r>
        <w:rPr>
          <w:rFonts w:hint="default" w:ascii="Times New Roman" w:hAnsi="Times New Roman" w:cs="Times New Roman"/>
          <w:bCs/>
          <w:kern w:val="0"/>
          <w:szCs w:val="21"/>
          <w:lang w:eastAsia="zh-CN"/>
        </w:rPr>
        <w:t>）</w:t>
      </w:r>
      <w:r>
        <w:rPr>
          <w:rFonts w:hint="default" w:ascii="Times New Roman" w:hAnsi="Times New Roman" w:cs="Times New Roman"/>
          <w:bCs/>
          <w:kern w:val="0"/>
          <w:szCs w:val="21"/>
        </w:rPr>
        <w:t>计算的在外劳务人员应获取的全部劳动报酬总额。该指标以美元计算。</w:t>
      </w:r>
    </w:p>
    <w:p w14:paraId="0AC646BB">
      <w:pPr>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ascii="Times New Roman" w:hAnsi="Times New Roman" w:cs="Times New Roman"/>
          <w:bCs/>
          <w:szCs w:val="21"/>
        </w:rPr>
      </w:pPr>
      <w:r>
        <w:rPr>
          <w:rFonts w:hint="default" w:ascii="Times New Roman" w:hAnsi="Times New Roman" w:eastAsia="黑体" w:cs="Times New Roman"/>
          <w:b w:val="0"/>
          <w:bCs/>
          <w:kern w:val="0"/>
          <w:szCs w:val="21"/>
        </w:rPr>
        <w:t>10</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劳务人员实际月平均工资</w:t>
      </w:r>
      <w:r>
        <w:rPr>
          <w:rFonts w:hint="default" w:ascii="Times New Roman" w:hAnsi="Times New Roman" w:eastAsia="黑体" w:cs="Times New Roman"/>
          <w:bCs/>
          <w:szCs w:val="21"/>
          <w:lang w:val="en-US" w:eastAsia="zh-CN"/>
        </w:rPr>
        <w:t xml:space="preserve">  </w:t>
      </w:r>
      <w:r>
        <w:rPr>
          <w:rFonts w:hint="default" w:ascii="Times New Roman" w:hAnsi="Times New Roman" w:cs="Times New Roman"/>
          <w:bCs/>
          <w:szCs w:val="21"/>
        </w:rPr>
        <w:t>指报告月度劳务人员平均每人所得的货币工资额。月平均工资等于报告月度雇主实际支付的全部劳务人员工资总额除以报告月份劳务人员平均人数。</w:t>
      </w:r>
    </w:p>
    <w:p w14:paraId="1C56DE12">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宋体" w:hAnsi="宋体" w:cs="宋体"/>
          <w:kern w:val="0"/>
          <w:szCs w:val="21"/>
        </w:rPr>
      </w:pPr>
      <w:r>
        <w:rPr>
          <w:rFonts w:hint="default" w:ascii="Times New Roman" w:hAnsi="Times New Roman" w:eastAsia="黑体" w:cs="Times New Roman"/>
          <w:b w:val="0"/>
          <w:bCs/>
          <w:kern w:val="0"/>
          <w:szCs w:val="21"/>
        </w:rPr>
        <w:t>11</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企业</w:t>
      </w:r>
      <w:r>
        <w:rPr>
          <w:rFonts w:hint="default" w:ascii="Times New Roman" w:hAnsi="Times New Roman" w:eastAsia="黑体" w:cs="Times New Roman"/>
          <w:b w:val="0"/>
          <w:bCs/>
          <w:kern w:val="0"/>
          <w:szCs w:val="21"/>
          <w:lang w:eastAsia="zh-CN"/>
        </w:rPr>
        <w:t>所有制</w:t>
      </w:r>
      <w:r>
        <w:rPr>
          <w:rFonts w:hint="default" w:ascii="Times New Roman" w:hAnsi="Times New Roman" w:eastAsia="黑体" w:cs="Times New Roman"/>
          <w:b w:val="0"/>
          <w:bCs/>
          <w:kern w:val="0"/>
          <w:szCs w:val="21"/>
        </w:rPr>
        <w:t>性质</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kern w:val="0"/>
          <w:szCs w:val="21"/>
        </w:rPr>
        <w:t>指根据企业实收资本中某种经济成分的出资人实际出资情况对企业进行分类，按国家统计局2005年发布的《关于统计上对公有和非公有控股经济的分类办法》执行。</w:t>
      </w:r>
    </w:p>
    <w:p w14:paraId="46E3E865">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0"/>
        <w:rPr>
          <w:rFonts w:ascii="Times New Roman" w:hAnsi="Times New Roman" w:eastAsia="黑体"/>
          <w:sz w:val="32"/>
          <w:szCs w:val="32"/>
        </w:rPr>
      </w:pPr>
      <w:bookmarkStart w:id="103" w:name="_Toc1704738712"/>
      <w:bookmarkStart w:id="104" w:name="_Toc1843121706"/>
      <w:bookmarkStart w:id="105" w:name="_Toc901847479"/>
      <w:bookmarkStart w:id="106" w:name="_Toc388621749"/>
      <w:bookmarkStart w:id="107" w:name="_Toc1915632101"/>
      <w:bookmarkStart w:id="108" w:name="_Toc179728378"/>
      <w:bookmarkStart w:id="109" w:name="_Toc310316207"/>
      <w:bookmarkStart w:id="110" w:name="_Toc658711459"/>
      <w:r>
        <w:rPr>
          <w:rFonts w:hint="default" w:ascii="Times New Roman" w:hAnsi="Times New Roman" w:eastAsia="黑体"/>
          <w:sz w:val="32"/>
          <w:szCs w:val="32"/>
        </w:rPr>
        <w:t>五、附 录</w:t>
      </w:r>
      <w:bookmarkEnd w:id="103"/>
      <w:bookmarkEnd w:id="104"/>
      <w:bookmarkEnd w:id="105"/>
      <w:bookmarkEnd w:id="106"/>
      <w:bookmarkEnd w:id="107"/>
      <w:bookmarkEnd w:id="108"/>
      <w:bookmarkEnd w:id="109"/>
      <w:bookmarkEnd w:id="110"/>
    </w:p>
    <w:p w14:paraId="5474D52B">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cs="Times New Roman"/>
          <w:b w:val="0"/>
          <w:bCs/>
          <w:kern w:val="0"/>
          <w:sz w:val="32"/>
          <w:szCs w:val="32"/>
        </w:rPr>
      </w:pPr>
      <w:bookmarkStart w:id="111" w:name="_Toc1703728653"/>
      <w:bookmarkStart w:id="112" w:name="_Toc1455016504"/>
      <w:bookmarkStart w:id="113" w:name="_Toc1521315508"/>
      <w:bookmarkStart w:id="114" w:name="_Toc602579420"/>
      <w:r>
        <w:rPr>
          <w:rFonts w:hint="default" w:ascii="Times New Roman" w:hAnsi="Times New Roman"/>
          <w:b w:val="0"/>
          <w:bCs/>
          <w:sz w:val="32"/>
          <w:szCs w:val="32"/>
          <w:lang w:eastAsia="zh-CN"/>
        </w:rPr>
        <w:t>（一）</w:t>
      </w:r>
      <w:bookmarkEnd w:id="111"/>
      <w:bookmarkStart w:id="115" w:name="_Toc1405751824"/>
      <w:r>
        <w:rPr>
          <w:rFonts w:hint="default" w:ascii="Times New Roman" w:hAnsi="Times New Roman" w:cs="Times New Roman"/>
          <w:b w:val="0"/>
          <w:bCs/>
          <w:kern w:val="0"/>
          <w:sz w:val="32"/>
          <w:szCs w:val="32"/>
        </w:rPr>
        <w:t>关于统计上对公有和非公有控股经济的分类办法</w:t>
      </w:r>
      <w:bookmarkEnd w:id="112"/>
      <w:bookmarkEnd w:id="113"/>
      <w:bookmarkEnd w:id="114"/>
      <w:bookmarkEnd w:id="115"/>
    </w:p>
    <w:p w14:paraId="0D23C942">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center"/>
        <w:textAlignment w:val="auto"/>
        <w:outlineLvl w:val="9"/>
        <w:rPr>
          <w:rFonts w:ascii="Times New Roman" w:hAnsi="Times New Roman" w:cs="Times New Roman"/>
          <w:color w:val="000000"/>
          <w:spacing w:val="8"/>
          <w:kern w:val="0"/>
          <w:szCs w:val="21"/>
        </w:rPr>
      </w:pPr>
      <w:bookmarkStart w:id="116" w:name="_Toc1443866725"/>
      <w:r>
        <w:rPr>
          <w:rFonts w:hint="default" w:ascii="Times New Roman" w:hAnsi="Times New Roman" w:cs="Times New Roman"/>
          <w:color w:val="000000"/>
          <w:spacing w:val="8"/>
          <w:kern w:val="0"/>
          <w:szCs w:val="21"/>
        </w:rPr>
        <w:t>（国家统计局</w:t>
      </w:r>
      <w:r>
        <w:rPr>
          <w:rFonts w:hint="default" w:ascii="Times New Roman" w:hAnsi="Times New Roman" w:cs="Times New Roman"/>
          <w:color w:val="000000"/>
          <w:spacing w:val="8"/>
          <w:kern w:val="0"/>
          <w:szCs w:val="21"/>
          <w:lang w:val="en-US" w:eastAsia="zh-CN"/>
        </w:rPr>
        <w:t>2005年8月</w:t>
      </w:r>
      <w:r>
        <w:rPr>
          <w:rFonts w:hint="default" w:ascii="Times New Roman" w:hAnsi="Times New Roman" w:cs="Times New Roman"/>
          <w:color w:val="000000"/>
          <w:spacing w:val="8"/>
          <w:kern w:val="0"/>
          <w:szCs w:val="21"/>
        </w:rPr>
        <w:t>发布</w:t>
      </w:r>
      <w:r>
        <w:rPr>
          <w:rFonts w:hint="default" w:ascii="Times New Roman" w:hAnsi="Times New Roman" w:cs="Times New Roman"/>
          <w:color w:val="000000"/>
          <w:spacing w:val="8"/>
          <w:kern w:val="0"/>
          <w:szCs w:val="21"/>
          <w:lang w:val="en-US" w:eastAsia="zh-CN"/>
        </w:rPr>
        <w:t xml:space="preserve">  国统字〔2005〕79号</w:t>
      </w:r>
      <w:r>
        <w:rPr>
          <w:rFonts w:hint="default" w:ascii="Times New Roman" w:hAnsi="Times New Roman" w:cs="Times New Roman"/>
          <w:color w:val="000000"/>
          <w:spacing w:val="8"/>
          <w:kern w:val="0"/>
          <w:szCs w:val="21"/>
        </w:rPr>
        <w:t>）</w:t>
      </w:r>
      <w:bookmarkEnd w:id="116"/>
    </w:p>
    <w:p w14:paraId="65BA2C51">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第一条  为了全面反映我国公有经济和非公有经济的控股情况，完善1998年国家统计局关于控股情况的有关规定，制定本办法。</w:t>
      </w:r>
    </w:p>
    <w:p w14:paraId="4D98707F">
      <w:pPr>
        <w:keepNext w:val="0"/>
        <w:keepLines w:val="0"/>
        <w:pageBreakBefore w:val="0"/>
        <w:widowControl/>
        <w:kinsoku/>
        <w:wordWrap/>
        <w:overflowPunct/>
        <w:topLinePunct w:val="0"/>
        <w:autoSpaceDE/>
        <w:autoSpaceDN/>
        <w:bidi w:val="0"/>
        <w:adjustRightInd w:val="0"/>
        <w:snapToGrid w:val="0"/>
        <w:spacing w:line="400" w:lineRule="exact"/>
        <w:ind w:firstLine="447" w:firstLineChars="198"/>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第二条　本办法以法人企业作为分类对象，根据企业实收资本中某种经济成分的出资人实际出资情况进行分类,并按出资人对企业的控股程度，分为绝对控股和相对控股。</w:t>
      </w:r>
    </w:p>
    <w:p w14:paraId="56E5FE7B">
      <w:pPr>
        <w:keepNext w:val="0"/>
        <w:keepLines w:val="0"/>
        <w:pageBreakBefore w:val="0"/>
        <w:widowControl/>
        <w:kinsoku/>
        <w:wordWrap/>
        <w:overflowPunct/>
        <w:topLinePunct w:val="0"/>
        <w:autoSpaceDE/>
        <w:autoSpaceDN/>
        <w:bidi w:val="0"/>
        <w:adjustRightInd w:val="0"/>
        <w:snapToGrid w:val="0"/>
        <w:spacing w:line="400" w:lineRule="exact"/>
        <w:ind w:firstLine="447" w:firstLineChars="198"/>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第三条　控股经济分类与代码</w:t>
      </w:r>
    </w:p>
    <w:p w14:paraId="0E79BA85">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outlineLvl w:val="9"/>
        <w:rPr>
          <w:rFonts w:ascii="Times New Roman" w:hAnsi="Times New Roman" w:cs="Times New Roman"/>
          <w:b/>
          <w:color w:val="000000"/>
          <w:spacing w:val="8"/>
          <w:kern w:val="0"/>
          <w:szCs w:val="21"/>
        </w:rPr>
      </w:pPr>
      <w:bookmarkStart w:id="117" w:name="_Toc957231647"/>
      <w:r>
        <w:rPr>
          <w:rFonts w:hint="default" w:ascii="Times New Roman" w:hAnsi="Times New Roman" w:cs="Times New Roman"/>
          <w:b/>
          <w:color w:val="000000"/>
          <w:spacing w:val="8"/>
          <w:kern w:val="0"/>
          <w:szCs w:val="21"/>
        </w:rPr>
        <w:t>100  公有</w:t>
      </w:r>
      <w:r>
        <w:rPr>
          <w:rFonts w:hint="default" w:ascii="Times New Roman" w:hAnsi="Times New Roman" w:cs="Times New Roman"/>
          <w:b/>
          <w:bCs/>
          <w:color w:val="000000"/>
          <w:spacing w:val="8"/>
          <w:kern w:val="0"/>
          <w:szCs w:val="21"/>
        </w:rPr>
        <w:t>控股</w:t>
      </w:r>
      <w:r>
        <w:rPr>
          <w:rFonts w:hint="default" w:ascii="Times New Roman" w:hAnsi="Times New Roman" w:cs="Times New Roman"/>
          <w:b/>
          <w:color w:val="000000"/>
          <w:spacing w:val="8"/>
          <w:kern w:val="0"/>
          <w:szCs w:val="21"/>
        </w:rPr>
        <w:t>经济</w:t>
      </w:r>
      <w:bookmarkEnd w:id="117"/>
    </w:p>
    <w:p w14:paraId="3E267178">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18" w:name="_Toc1310727590"/>
      <w:r>
        <w:rPr>
          <w:rFonts w:hint="default" w:ascii="Times New Roman" w:hAnsi="Times New Roman" w:cs="Times New Roman"/>
          <w:color w:val="000000"/>
          <w:spacing w:val="8"/>
          <w:kern w:val="0"/>
          <w:szCs w:val="21"/>
        </w:rPr>
        <w:t>110    国有控股</w:t>
      </w:r>
      <w:bookmarkEnd w:id="118"/>
    </w:p>
    <w:p w14:paraId="456B9760">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19" w:name="_Toc1597766902"/>
      <w:r>
        <w:rPr>
          <w:rFonts w:hint="default" w:ascii="Times New Roman" w:hAnsi="Times New Roman" w:cs="Times New Roman"/>
          <w:color w:val="000000"/>
          <w:spacing w:val="8"/>
          <w:kern w:val="0"/>
          <w:szCs w:val="21"/>
        </w:rPr>
        <w:t>111　　　国有绝对控股</w:t>
      </w:r>
      <w:bookmarkEnd w:id="119"/>
    </w:p>
    <w:p w14:paraId="4A2933C7">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0" w:name="_Toc415443632"/>
      <w:r>
        <w:rPr>
          <w:rFonts w:hint="default" w:ascii="Times New Roman" w:hAnsi="Times New Roman" w:cs="Times New Roman"/>
          <w:color w:val="000000"/>
          <w:spacing w:val="8"/>
          <w:kern w:val="0"/>
          <w:szCs w:val="21"/>
        </w:rPr>
        <w:t>112　　　国有相对控股</w:t>
      </w:r>
      <w:bookmarkEnd w:id="120"/>
    </w:p>
    <w:p w14:paraId="2CDC1C73">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1" w:name="_Toc1141788407"/>
      <w:r>
        <w:rPr>
          <w:rFonts w:hint="default" w:ascii="Times New Roman" w:hAnsi="Times New Roman" w:cs="Times New Roman"/>
          <w:color w:val="000000"/>
          <w:spacing w:val="8"/>
          <w:kern w:val="0"/>
          <w:szCs w:val="21"/>
        </w:rPr>
        <w:t>120    集体控股</w:t>
      </w:r>
      <w:bookmarkEnd w:id="121"/>
    </w:p>
    <w:p w14:paraId="6FAA40B3">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22" w:name="_Toc1642680544"/>
      <w:r>
        <w:rPr>
          <w:rFonts w:hint="default" w:ascii="Times New Roman" w:hAnsi="Times New Roman" w:cs="Times New Roman"/>
          <w:color w:val="000000"/>
          <w:spacing w:val="8"/>
          <w:kern w:val="0"/>
          <w:szCs w:val="21"/>
        </w:rPr>
        <w:t>121　　　集体绝对控股</w:t>
      </w:r>
      <w:bookmarkEnd w:id="122"/>
    </w:p>
    <w:p w14:paraId="21BD6FF7">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3" w:name="_Toc1071448297"/>
      <w:r>
        <w:rPr>
          <w:rFonts w:hint="default" w:ascii="Times New Roman" w:hAnsi="Times New Roman" w:cs="Times New Roman"/>
          <w:color w:val="000000"/>
          <w:spacing w:val="8"/>
          <w:kern w:val="0"/>
          <w:szCs w:val="21"/>
        </w:rPr>
        <w:t>122　　　集体相对控股</w:t>
      </w:r>
      <w:bookmarkEnd w:id="123"/>
    </w:p>
    <w:p w14:paraId="51EF339E">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outlineLvl w:val="9"/>
        <w:rPr>
          <w:rFonts w:ascii="Times New Roman" w:hAnsi="Times New Roman" w:cs="Times New Roman"/>
          <w:color w:val="000000"/>
          <w:spacing w:val="8"/>
          <w:kern w:val="0"/>
          <w:szCs w:val="21"/>
        </w:rPr>
      </w:pPr>
      <w:bookmarkStart w:id="124" w:name="_Toc2059105540"/>
      <w:r>
        <w:rPr>
          <w:rFonts w:hint="default" w:ascii="Times New Roman" w:hAnsi="Times New Roman" w:cs="Times New Roman"/>
          <w:b/>
          <w:color w:val="000000"/>
          <w:spacing w:val="8"/>
          <w:kern w:val="0"/>
          <w:szCs w:val="21"/>
        </w:rPr>
        <w:t>200  非公有控股经济</w:t>
      </w:r>
      <w:bookmarkEnd w:id="124"/>
    </w:p>
    <w:p w14:paraId="697FA6BA">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5" w:name="_Toc617524104"/>
      <w:r>
        <w:rPr>
          <w:rFonts w:hint="default" w:ascii="Times New Roman" w:hAnsi="Times New Roman" w:cs="Times New Roman"/>
          <w:color w:val="000000"/>
          <w:spacing w:val="8"/>
          <w:kern w:val="0"/>
          <w:szCs w:val="21"/>
        </w:rPr>
        <w:t>210    私人控股</w:t>
      </w:r>
      <w:bookmarkEnd w:id="125"/>
    </w:p>
    <w:p w14:paraId="3AA4F054">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26" w:name="_Toc2006996365"/>
      <w:r>
        <w:rPr>
          <w:rFonts w:hint="default" w:ascii="Times New Roman" w:hAnsi="Times New Roman" w:cs="Times New Roman"/>
          <w:color w:val="000000"/>
          <w:spacing w:val="8"/>
          <w:kern w:val="0"/>
          <w:szCs w:val="21"/>
        </w:rPr>
        <w:t>211　　　私人绝对控股</w:t>
      </w:r>
      <w:bookmarkEnd w:id="126"/>
    </w:p>
    <w:p w14:paraId="48CE7F88">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b/>
          <w:color w:val="000000"/>
          <w:spacing w:val="8"/>
          <w:kern w:val="0"/>
          <w:szCs w:val="21"/>
        </w:rPr>
      </w:pPr>
      <w:bookmarkStart w:id="127" w:name="_Toc525829367"/>
      <w:r>
        <w:rPr>
          <w:rFonts w:hint="default" w:ascii="Times New Roman" w:hAnsi="Times New Roman" w:cs="Times New Roman"/>
          <w:color w:val="000000"/>
          <w:spacing w:val="8"/>
          <w:kern w:val="0"/>
          <w:szCs w:val="21"/>
        </w:rPr>
        <w:t>212　　　私人相对控股</w:t>
      </w:r>
      <w:bookmarkEnd w:id="127"/>
    </w:p>
    <w:p w14:paraId="555F1D4A">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8" w:name="_Toc914485428"/>
      <w:r>
        <w:rPr>
          <w:rFonts w:hint="default" w:ascii="Times New Roman" w:hAnsi="Times New Roman" w:cs="Times New Roman"/>
          <w:color w:val="000000"/>
          <w:spacing w:val="8"/>
          <w:kern w:val="0"/>
          <w:szCs w:val="21"/>
        </w:rPr>
        <w:t>220    港澳台商控股</w:t>
      </w:r>
      <w:bookmarkEnd w:id="128"/>
    </w:p>
    <w:p w14:paraId="28B21B61">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9" w:name="_Toc460337704"/>
      <w:r>
        <w:rPr>
          <w:rFonts w:hint="default" w:ascii="Times New Roman" w:hAnsi="Times New Roman" w:cs="Times New Roman"/>
          <w:color w:val="000000"/>
          <w:spacing w:val="8"/>
          <w:kern w:val="0"/>
          <w:szCs w:val="21"/>
        </w:rPr>
        <w:t>221　　　港澳台商绝对控股</w:t>
      </w:r>
      <w:bookmarkEnd w:id="129"/>
    </w:p>
    <w:p w14:paraId="0E9D1499">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30" w:name="_Toc470350250"/>
      <w:r>
        <w:rPr>
          <w:rFonts w:hint="default" w:ascii="Times New Roman" w:hAnsi="Times New Roman" w:cs="Times New Roman"/>
          <w:color w:val="000000"/>
          <w:spacing w:val="8"/>
          <w:kern w:val="0"/>
          <w:szCs w:val="21"/>
        </w:rPr>
        <w:t>222　　　港澳台商相对控股</w:t>
      </w:r>
      <w:bookmarkEnd w:id="130"/>
    </w:p>
    <w:p w14:paraId="732084FC">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outlineLvl w:val="9"/>
        <w:rPr>
          <w:rFonts w:ascii="Times New Roman" w:hAnsi="Times New Roman" w:cs="Times New Roman"/>
          <w:color w:val="000000"/>
          <w:spacing w:val="8"/>
          <w:kern w:val="0"/>
          <w:szCs w:val="21"/>
        </w:rPr>
      </w:pPr>
      <w:bookmarkStart w:id="131" w:name="_Toc1496588097"/>
      <w:r>
        <w:rPr>
          <w:rFonts w:hint="default" w:ascii="Times New Roman" w:hAnsi="Times New Roman" w:cs="Times New Roman"/>
          <w:color w:val="000000"/>
          <w:spacing w:val="8"/>
          <w:kern w:val="0"/>
          <w:szCs w:val="21"/>
        </w:rPr>
        <w:t>230    外商控股</w:t>
      </w:r>
      <w:bookmarkEnd w:id="131"/>
    </w:p>
    <w:p w14:paraId="5C9BE9EF">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32" w:name="_Toc492753104"/>
      <w:r>
        <w:rPr>
          <w:rFonts w:hint="default" w:ascii="Times New Roman" w:hAnsi="Times New Roman" w:cs="Times New Roman"/>
          <w:color w:val="000000"/>
          <w:spacing w:val="8"/>
          <w:kern w:val="0"/>
          <w:szCs w:val="21"/>
        </w:rPr>
        <w:t>231　　　外商绝对控股</w:t>
      </w:r>
      <w:bookmarkEnd w:id="132"/>
    </w:p>
    <w:p w14:paraId="10E65EC0">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outlineLvl w:val="9"/>
        <w:rPr>
          <w:rFonts w:ascii="Times New Roman" w:hAnsi="Times New Roman" w:cs="Times New Roman"/>
          <w:color w:val="000000"/>
          <w:spacing w:val="8"/>
          <w:kern w:val="0"/>
          <w:szCs w:val="21"/>
        </w:rPr>
      </w:pPr>
      <w:bookmarkStart w:id="133" w:name="_Toc887319364"/>
      <w:r>
        <w:rPr>
          <w:rFonts w:hint="default" w:ascii="Times New Roman" w:hAnsi="Times New Roman" w:cs="Times New Roman"/>
          <w:color w:val="000000"/>
          <w:spacing w:val="8"/>
          <w:kern w:val="0"/>
          <w:szCs w:val="21"/>
        </w:rPr>
        <w:t>232　　　外商相对控股</w:t>
      </w:r>
      <w:bookmarkEnd w:id="133"/>
    </w:p>
    <w:p w14:paraId="6F1A9E29">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第四条  绝对控股是指在企业的全部实收资本中，某种经济成分的出资人拥有的实收资本(股本)所占企业的全部实收资本（股本）的比例大于50%。</w:t>
      </w:r>
    </w:p>
    <w:p w14:paraId="15072DF1">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投资双方各占50%，且未明确由谁绝对控股的企业，若其中一方为国有或集体的，一律按公有绝对控股经济处理;若投资双方分别为国有、集体的，则按国有绝对控股处理。</w:t>
      </w:r>
    </w:p>
    <w:p w14:paraId="7C4D6CD3">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第五条　相对控股是指在企业的全部实收资本中，某经济成分的出资人拥有的实收资本(股本)所占的比例虽未大于50%，但根据协议规定拥有企业的实际控制权（协议控股）；或者相对大于其他任何一种经济成分的出资人所占比例（相对控股）。</w:t>
      </w:r>
    </w:p>
    <w:p w14:paraId="474E850E">
      <w:pPr>
        <w:spacing w:line="380" w:lineRule="exact"/>
        <w:ind w:firstLine="452" w:firstLineChars="200"/>
        <w:jc w:val="left"/>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第六条  本办法由国家统计局负责解释。</w:t>
      </w:r>
    </w:p>
    <w:p w14:paraId="2EBCE653">
      <w:pPr>
        <w:widowControl/>
        <w:tabs>
          <w:tab w:val="left" w:pos="0"/>
        </w:tabs>
        <w:spacing w:line="380" w:lineRule="exact"/>
        <w:ind w:firstLine="452" w:firstLineChars="200"/>
        <w:jc w:val="left"/>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第七条  本办法自发布之日起施行。1998年9月2日国家统计局印发的《关于统计上划分经济成分的规定》中的附件三《关于统计上国有经济控股情况的分类办法》同时废止。</w:t>
      </w:r>
    </w:p>
    <w:p w14:paraId="598BC15F">
      <w:pPr>
        <w:widowControl/>
        <w:spacing w:line="600" w:lineRule="exact"/>
        <w:jc w:val="center"/>
        <w:rPr>
          <w:rFonts w:ascii="宋体" w:hAnsi="宋体" w:cs="宋体"/>
          <w:b/>
          <w:color w:val="000000"/>
          <w:spacing w:val="8"/>
          <w:kern w:val="0"/>
          <w:sz w:val="32"/>
          <w:szCs w:val="32"/>
        </w:rPr>
      </w:pPr>
    </w:p>
    <w:p w14:paraId="485BED54">
      <w:pPr>
        <w:jc w:val="center"/>
        <w:outlineLvl w:val="1"/>
        <w:rPr>
          <w:rFonts w:hint="eastAsia" w:ascii="宋体" w:hAnsi="宋体"/>
          <w:b w:val="0"/>
          <w:bCs/>
          <w:sz w:val="32"/>
          <w:szCs w:val="32"/>
          <w:lang w:eastAsia="zh-CN"/>
        </w:rPr>
      </w:pPr>
      <w:bookmarkStart w:id="134" w:name="_Toc1588408167"/>
      <w:bookmarkStart w:id="135" w:name="_Toc1090532746"/>
      <w:bookmarkStart w:id="136" w:name="_Toc855105538"/>
      <w:bookmarkStart w:id="137" w:name="_Toc830489237"/>
      <w:r>
        <w:rPr>
          <w:rFonts w:hint="eastAsia" w:ascii="宋体" w:hAnsi="宋体"/>
          <w:b w:val="0"/>
          <w:bCs/>
          <w:sz w:val="32"/>
          <w:szCs w:val="32"/>
          <w:lang w:eastAsia="zh-CN"/>
        </w:rPr>
        <w:t>（二）向国家统计局提供的统计资料清单</w:t>
      </w:r>
      <w:bookmarkEnd w:id="134"/>
      <w:bookmarkEnd w:id="135"/>
      <w:bookmarkEnd w:id="136"/>
      <w:bookmarkEnd w:id="137"/>
    </w:p>
    <w:p w14:paraId="265FB297">
      <w:pPr>
        <w:widowControl/>
        <w:spacing w:line="240" w:lineRule="auto"/>
        <w:jc w:val="left"/>
        <w:rPr>
          <w:rFonts w:ascii="Calibri" w:hAnsi="Calibri" w:cs="Times New Roman"/>
          <w:color w:val="000000"/>
          <w:spacing w:val="0"/>
          <w:kern w:val="2"/>
          <w:szCs w:val="24"/>
        </w:rPr>
      </w:pPr>
    </w:p>
    <w:p w14:paraId="492DA026">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1、综合定报</w:t>
      </w:r>
      <w:r>
        <w:rPr>
          <w:rFonts w:hint="eastAsia" w:ascii="宋体" w:hAnsi="宋体" w:cs="宋体"/>
          <w:color w:val="000000"/>
          <w:spacing w:val="8"/>
          <w:kern w:val="0"/>
          <w:szCs w:val="21"/>
          <w:lang w:val="en-US" w:eastAsia="zh-CN"/>
        </w:rPr>
        <w:t>：</w:t>
      </w:r>
    </w:p>
    <w:p w14:paraId="25CECBE8">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（1）内容：按国别（地区）、国民经济行业分组的对外劳务合作人员构成情况（指标派出人数、月末在外人数）</w:t>
      </w:r>
      <w:r>
        <w:rPr>
          <w:rFonts w:hint="eastAsia" w:ascii="宋体" w:hAnsi="宋体" w:cs="宋体"/>
          <w:color w:val="000000"/>
          <w:spacing w:val="8"/>
          <w:kern w:val="0"/>
          <w:szCs w:val="21"/>
          <w:lang w:eastAsia="zh-CN"/>
        </w:rPr>
        <w:t>。</w:t>
      </w:r>
    </w:p>
    <w:p w14:paraId="08897C59">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（2）报送时间：月后30日前</w:t>
      </w:r>
      <w:r>
        <w:rPr>
          <w:rFonts w:hint="eastAsia" w:ascii="宋体" w:hAnsi="宋体" w:cs="宋体"/>
          <w:color w:val="000000"/>
          <w:spacing w:val="8"/>
          <w:kern w:val="0"/>
          <w:szCs w:val="21"/>
          <w:lang w:eastAsia="zh-CN"/>
        </w:rPr>
        <w:t>。</w:t>
      </w:r>
    </w:p>
    <w:p w14:paraId="765EF3AE">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2、综合年报</w:t>
      </w:r>
      <w:r>
        <w:rPr>
          <w:rFonts w:hint="eastAsia" w:ascii="宋体" w:hAnsi="宋体" w:cs="宋体"/>
          <w:color w:val="000000"/>
          <w:spacing w:val="8"/>
          <w:kern w:val="0"/>
          <w:szCs w:val="21"/>
          <w:lang w:eastAsia="zh-CN"/>
        </w:rPr>
        <w:t>：</w:t>
      </w:r>
    </w:p>
    <w:p w14:paraId="137C6ED1">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（1）内容：按国别（地区）、按省（自治区、直辖市）分组的对外劳务合作人员构成情况（指标派出人数、月末在外人数）</w:t>
      </w:r>
      <w:r>
        <w:rPr>
          <w:rFonts w:hint="eastAsia" w:ascii="宋体" w:hAnsi="宋体" w:cs="宋体"/>
          <w:color w:val="000000"/>
          <w:spacing w:val="8"/>
          <w:kern w:val="0"/>
          <w:szCs w:val="21"/>
          <w:lang w:eastAsia="zh-CN"/>
        </w:rPr>
        <w:t>。</w:t>
      </w:r>
    </w:p>
    <w:p w14:paraId="0C0A0F72">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（2）报送时间：年后3月31日前</w:t>
      </w:r>
      <w:r>
        <w:rPr>
          <w:rFonts w:hint="eastAsia" w:ascii="宋体" w:hAnsi="宋体" w:cs="宋体"/>
          <w:color w:val="000000"/>
          <w:spacing w:val="8"/>
          <w:kern w:val="0"/>
          <w:szCs w:val="21"/>
          <w:lang w:eastAsia="zh-CN"/>
        </w:rPr>
        <w:t>。</w:t>
      </w:r>
    </w:p>
    <w:p w14:paraId="35EBB13B">
      <w:pPr>
        <w:spacing w:line="400" w:lineRule="exact"/>
      </w:pPr>
    </w:p>
    <w:p w14:paraId="71A56471">
      <w:pPr>
        <w:spacing w:line="400" w:lineRule="exact"/>
      </w:pPr>
    </w:p>
    <w:p w14:paraId="44CD4D25">
      <w:pPr>
        <w:spacing w:line="400" w:lineRule="exact"/>
      </w:pPr>
    </w:p>
    <w:p w14:paraId="1A4D5A30">
      <w:pPr>
        <w:jc w:val="center"/>
        <w:outlineLvl w:val="1"/>
        <w:rPr>
          <w:rFonts w:hint="eastAsia" w:ascii="宋体" w:hAnsi="宋体" w:cs="宋体"/>
          <w:b w:val="0"/>
          <w:bCs/>
          <w:kern w:val="0"/>
          <w:sz w:val="32"/>
          <w:szCs w:val="32"/>
        </w:rPr>
      </w:pPr>
      <w:bookmarkStart w:id="138" w:name="_Toc1896058957"/>
      <w:bookmarkStart w:id="139" w:name="_Toc1141349148"/>
      <w:bookmarkStart w:id="140" w:name="_Toc1427194823"/>
      <w:bookmarkStart w:id="141" w:name="_Toc1861775042"/>
      <w:bookmarkStart w:id="142" w:name="_Toc388312279"/>
      <w:r>
        <w:rPr>
          <w:rFonts w:hint="eastAsia" w:ascii="宋体" w:hAnsi="宋体" w:cs="宋体"/>
          <w:b w:val="0"/>
          <w:bCs/>
          <w:kern w:val="0"/>
          <w:sz w:val="32"/>
          <w:szCs w:val="32"/>
        </w:rPr>
        <w:t>（</w:t>
      </w:r>
      <w:r>
        <w:rPr>
          <w:rFonts w:hint="eastAsia" w:ascii="宋体" w:hAnsi="宋体" w:cs="宋体"/>
          <w:b w:val="0"/>
          <w:bCs/>
          <w:kern w:val="0"/>
          <w:sz w:val="32"/>
          <w:szCs w:val="32"/>
          <w:lang w:eastAsia="zh-CN"/>
        </w:rPr>
        <w:t>三</w:t>
      </w:r>
      <w:r>
        <w:rPr>
          <w:rFonts w:hint="eastAsia" w:ascii="宋体" w:hAnsi="宋体" w:cs="宋体"/>
          <w:b w:val="0"/>
          <w:bCs/>
          <w:kern w:val="0"/>
          <w:sz w:val="32"/>
          <w:szCs w:val="32"/>
        </w:rPr>
        <w:t>）向统计信息共享数据库提供的统计资料清单</w:t>
      </w:r>
      <w:bookmarkEnd w:id="138"/>
      <w:bookmarkEnd w:id="139"/>
      <w:bookmarkEnd w:id="140"/>
      <w:bookmarkEnd w:id="141"/>
      <w:bookmarkEnd w:id="142"/>
    </w:p>
    <w:p w14:paraId="4895FD66">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cs="宋体"/>
          <w:color w:val="000000"/>
          <w:spacing w:val="8"/>
          <w:kern w:val="0"/>
          <w:szCs w:val="21"/>
        </w:rPr>
      </w:pPr>
    </w:p>
    <w:p w14:paraId="2C000105">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1、综合定报</w:t>
      </w:r>
      <w:r>
        <w:rPr>
          <w:rFonts w:hint="eastAsia" w:ascii="宋体" w:hAnsi="宋体" w:cs="宋体"/>
          <w:color w:val="000000"/>
          <w:spacing w:val="8"/>
          <w:kern w:val="0"/>
          <w:szCs w:val="21"/>
          <w:lang w:eastAsia="zh-CN"/>
        </w:rPr>
        <w:t>：</w:t>
      </w:r>
    </w:p>
    <w:p w14:paraId="378D4F4B">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（1）内容：按国别（地区）、国民经济行业分组的对外劳务合作人员构成情况（指标派出人数、月末在外人数）</w:t>
      </w:r>
      <w:r>
        <w:rPr>
          <w:rFonts w:hint="eastAsia" w:ascii="宋体" w:hAnsi="宋体" w:cs="宋体"/>
          <w:color w:val="000000"/>
          <w:spacing w:val="8"/>
          <w:kern w:val="0"/>
          <w:szCs w:val="21"/>
          <w:lang w:eastAsia="zh-CN"/>
        </w:rPr>
        <w:t>。</w:t>
      </w:r>
    </w:p>
    <w:p w14:paraId="02AAB241">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（2）报送时间：月后30日前</w:t>
      </w:r>
      <w:r>
        <w:rPr>
          <w:rFonts w:hint="eastAsia" w:ascii="宋体" w:hAnsi="宋体" w:cs="宋体"/>
          <w:color w:val="000000"/>
          <w:spacing w:val="8"/>
          <w:kern w:val="0"/>
          <w:szCs w:val="21"/>
          <w:lang w:eastAsia="zh-CN"/>
        </w:rPr>
        <w:t>。</w:t>
      </w:r>
    </w:p>
    <w:p w14:paraId="4D6478B5">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2、综合年报</w:t>
      </w:r>
      <w:r>
        <w:rPr>
          <w:rFonts w:hint="eastAsia" w:ascii="宋体" w:hAnsi="宋体" w:cs="宋体"/>
          <w:color w:val="000000"/>
          <w:spacing w:val="8"/>
          <w:kern w:val="0"/>
          <w:szCs w:val="21"/>
          <w:lang w:eastAsia="zh-CN"/>
        </w:rPr>
        <w:t>：</w:t>
      </w:r>
    </w:p>
    <w:p w14:paraId="27DF460B">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（1）内容：按国别（地区）、按省（自治区、直辖市）分组的对外劳务合作人员构成情况（指标派出人数、月末在外人数）</w:t>
      </w:r>
      <w:r>
        <w:rPr>
          <w:rFonts w:hint="eastAsia" w:ascii="宋体" w:hAnsi="宋体" w:cs="宋体"/>
          <w:color w:val="000000"/>
          <w:spacing w:val="8"/>
          <w:kern w:val="0"/>
          <w:szCs w:val="21"/>
          <w:lang w:eastAsia="zh-CN"/>
        </w:rPr>
        <w:t>。</w:t>
      </w:r>
    </w:p>
    <w:p w14:paraId="714289A0">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（2）报送时间：年后3月31日前</w:t>
      </w:r>
      <w:r>
        <w:rPr>
          <w:rFonts w:hint="eastAsia" w:ascii="宋体" w:hAnsi="宋体" w:cs="宋体"/>
          <w:color w:val="000000"/>
          <w:spacing w:val="8"/>
          <w:kern w:val="0"/>
          <w:szCs w:val="21"/>
          <w:lang w:eastAsia="zh-CN"/>
        </w:rPr>
        <w:t>。</w:t>
      </w:r>
    </w:p>
    <w:p w14:paraId="31BF308A">
      <w:pPr>
        <w:spacing w:line="400" w:lineRule="exact"/>
      </w:pPr>
    </w:p>
    <w:p w14:paraId="0FBE05FA"/>
    <w:p w14:paraId="70CD3775">
      <w:pPr>
        <w:rPr>
          <w:rFonts w:hint="default"/>
          <w:lang w:val="en-US" w:eastAsia="zh-CN"/>
        </w:rPr>
      </w:pPr>
    </w:p>
    <w:p w14:paraId="1C9EE88A">
      <w:pPr>
        <w:rPr>
          <w:rFonts w:hint="default"/>
          <w:lang w:val="en-US" w:eastAsia="zh-CN"/>
        </w:rPr>
      </w:pPr>
    </w:p>
    <w:p w14:paraId="6422CECD">
      <w:pPr>
        <w:rPr>
          <w:rFonts w:hint="default"/>
          <w:lang w:val="en-US" w:eastAsia="zh-CN"/>
        </w:rPr>
      </w:pPr>
    </w:p>
    <w:p w14:paraId="4DB052AA">
      <w:pPr>
        <w:rPr>
          <w:rFonts w:hint="default"/>
          <w:lang w:val="en-US" w:eastAsia="zh-CN"/>
        </w:rPr>
      </w:pPr>
    </w:p>
    <w:p w14:paraId="2D2C3333">
      <w:pPr>
        <w:keepNext w:val="0"/>
        <w:keepLines w:val="0"/>
        <w:pageBreakBefore w:val="0"/>
        <w:widowControl/>
        <w:kinsoku/>
        <w:wordWrap/>
        <w:overflowPunct/>
        <w:topLinePunct w:val="0"/>
        <w:autoSpaceDE/>
        <w:autoSpaceDN/>
        <w:bidi w:val="0"/>
        <w:adjustRightInd/>
        <w:spacing w:line="360" w:lineRule="auto"/>
        <w:ind w:right="-334"/>
        <w:jc w:val="left"/>
        <w:textAlignment w:val="auto"/>
        <w:rPr>
          <w:rFonts w:hint="default" w:ascii="Times New Roman" w:hAnsi="Times New Roman" w:eastAsia="黑体" w:cs="Times New Roman"/>
          <w:b w:val="0"/>
          <w:bCs/>
          <w:strike w:val="0"/>
          <w:dstrike w:val="0"/>
          <w:sz w:val="32"/>
          <w:szCs w:val="32"/>
          <w:highlight w:val="none"/>
          <w:u w:val="none"/>
          <w:lang w:val="en" w:eastAsia="zh-CN"/>
        </w:rPr>
      </w:pPr>
      <w:r>
        <w:rPr>
          <w:rFonts w:hint="default" w:ascii="Times New Roman" w:hAnsi="Times New Roman" w:eastAsia="黑体" w:cs="Times New Roman"/>
          <w:b w:val="0"/>
          <w:bCs/>
          <w:strike w:val="0"/>
          <w:dstrike w:val="0"/>
          <w:sz w:val="32"/>
          <w:szCs w:val="32"/>
          <w:highlight w:val="none"/>
          <w:u w:val="none"/>
          <w:lang w:val="en" w:eastAsia="zh-CN"/>
        </w:rPr>
        <w:t>附件</w:t>
      </w:r>
      <w:r>
        <w:rPr>
          <w:rFonts w:hint="eastAsia" w:ascii="Times New Roman" w:hAnsi="Times New Roman" w:eastAsia="黑体" w:cs="Times New Roman"/>
          <w:b w:val="0"/>
          <w:bCs/>
          <w:strike w:val="0"/>
          <w:dstrike w:val="0"/>
          <w:sz w:val="32"/>
          <w:szCs w:val="32"/>
          <w:highlight w:val="none"/>
          <w:u w:val="none"/>
          <w:lang w:val="en-US" w:eastAsia="zh-CN"/>
        </w:rPr>
        <w:t>1</w:t>
      </w:r>
    </w:p>
    <w:p w14:paraId="7F1089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黑体" w:cs="Times New Roman"/>
          <w:i w:val="0"/>
          <w:caps w:val="0"/>
          <w:color w:val="auto"/>
          <w:spacing w:val="0"/>
          <w:sz w:val="36"/>
          <w:szCs w:val="36"/>
        </w:rPr>
      </w:pPr>
    </w:p>
    <w:p w14:paraId="30E8C5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方正小标宋_GBK" w:cs="Times New Roman"/>
          <w:b w:val="0"/>
          <w:bCs w:val="0"/>
          <w:i w:val="0"/>
          <w:caps w:val="0"/>
          <w:color w:val="auto"/>
          <w:spacing w:val="0"/>
          <w:sz w:val="44"/>
          <w:szCs w:val="44"/>
          <w:lang w:eastAsia="zh-CN"/>
        </w:rPr>
      </w:pPr>
      <w:r>
        <w:rPr>
          <w:rFonts w:hint="default" w:ascii="Times New Roman" w:hAnsi="Times New Roman" w:eastAsia="方正小标宋_GBK" w:cs="Times New Roman"/>
          <w:b w:val="0"/>
          <w:bCs w:val="0"/>
          <w:i w:val="0"/>
          <w:caps w:val="0"/>
          <w:color w:val="auto"/>
          <w:spacing w:val="0"/>
          <w:sz w:val="44"/>
          <w:szCs w:val="44"/>
        </w:rPr>
        <w:t>《对外承包工程业务统计调查制度》</w:t>
      </w:r>
      <w:r>
        <w:rPr>
          <w:rFonts w:hint="default" w:ascii="Times New Roman" w:hAnsi="Times New Roman" w:eastAsia="方正小标宋_GBK" w:cs="Times New Roman"/>
          <w:b w:val="0"/>
          <w:bCs w:val="0"/>
          <w:i w:val="0"/>
          <w:caps w:val="0"/>
          <w:color w:val="auto"/>
          <w:spacing w:val="0"/>
          <w:sz w:val="44"/>
          <w:szCs w:val="44"/>
          <w:lang w:eastAsia="zh-CN"/>
        </w:rPr>
        <w:t>修订说明</w:t>
      </w:r>
    </w:p>
    <w:p w14:paraId="3EBAD5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方正小标宋_GBK" w:cs="Times New Roman"/>
          <w:b w:val="0"/>
          <w:bCs w:val="0"/>
          <w:i w:val="0"/>
          <w:caps w:val="0"/>
          <w:color w:val="auto"/>
          <w:spacing w:val="0"/>
          <w:sz w:val="44"/>
          <w:szCs w:val="44"/>
          <w:lang w:eastAsia="zh-CN"/>
        </w:rPr>
      </w:pPr>
    </w:p>
    <w:p w14:paraId="2994363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leftChars="0"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lang w:eastAsia="zh-CN"/>
        </w:rPr>
        <w:t>《对外承包工程业务统计调查制度》源自</w:t>
      </w:r>
      <w:r>
        <w:rPr>
          <w:rFonts w:hint="default" w:ascii="Times New Roman" w:hAnsi="Times New Roman" w:eastAsia="仿宋_GB2312" w:cs="Times New Roman"/>
          <w:i w:val="0"/>
          <w:caps w:val="0"/>
          <w:color w:val="auto"/>
          <w:spacing w:val="0"/>
          <w:sz w:val="32"/>
          <w:szCs w:val="32"/>
          <w:lang w:val="en-US" w:eastAsia="zh-CN"/>
        </w:rPr>
        <w:t>1980年设立的《对外承包工程等收费项目统计报表制度》，</w:t>
      </w:r>
      <w:r>
        <w:rPr>
          <w:rFonts w:hint="eastAsia" w:ascii="Times New Roman" w:hAnsi="Times New Roman" w:eastAsia="仿宋_GB2312" w:cs="Times New Roman"/>
          <w:i w:val="0"/>
          <w:caps w:val="0"/>
          <w:color w:val="auto"/>
          <w:spacing w:val="0"/>
          <w:sz w:val="32"/>
          <w:szCs w:val="32"/>
          <w:lang w:val="en-US" w:eastAsia="zh-CN"/>
        </w:rPr>
        <w:t>本次</w:t>
      </w:r>
      <w:r>
        <w:rPr>
          <w:rFonts w:hint="default" w:ascii="Times New Roman" w:hAnsi="Times New Roman" w:eastAsia="仿宋_GB2312" w:cs="Times New Roman"/>
          <w:i w:val="0"/>
          <w:caps w:val="0"/>
          <w:color w:val="auto"/>
          <w:spacing w:val="0"/>
          <w:sz w:val="32"/>
          <w:szCs w:val="32"/>
          <w:lang w:val="en-US" w:eastAsia="zh-CN"/>
        </w:rPr>
        <w:t>是统计制度第十八次修订。主要修订内容说明如下：</w:t>
      </w:r>
    </w:p>
    <w:p w14:paraId="10890645">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“总说明”部分</w:t>
      </w:r>
    </w:p>
    <w:p w14:paraId="1D0DA57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firstLine="642"/>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（一）</w:t>
      </w:r>
      <w:r>
        <w:rPr>
          <w:rFonts w:hint="eastAsia" w:ascii="楷体_GB2312" w:hAnsi="楷体_GB2312" w:eastAsia="楷体_GB2312" w:cs="楷体_GB2312"/>
          <w:b/>
          <w:bCs/>
          <w:i w:val="0"/>
          <w:caps w:val="0"/>
          <w:color w:val="auto"/>
          <w:spacing w:val="0"/>
          <w:sz w:val="32"/>
          <w:szCs w:val="32"/>
          <w:lang w:eastAsia="zh-CN"/>
        </w:rPr>
        <w:t>完善“质量控制”相关内容</w:t>
      </w:r>
      <w:r>
        <w:rPr>
          <w:rFonts w:hint="eastAsia" w:ascii="Times New Roman" w:hAnsi="Times New Roman" w:eastAsia="仿宋_GB2312" w:cs="Times New Roman"/>
          <w:i w:val="0"/>
          <w:caps w:val="0"/>
          <w:color w:val="auto"/>
          <w:spacing w:val="0"/>
          <w:sz w:val="32"/>
          <w:szCs w:val="32"/>
          <w:lang w:eastAsia="zh-CN"/>
        </w:rPr>
        <w:t>。</w:t>
      </w:r>
      <w:r>
        <w:rPr>
          <w:rFonts w:hint="eastAsia" w:ascii="Times New Roman" w:hAnsi="Times New Roman" w:eastAsia="仿宋_GB2312" w:cs="Times New Roman"/>
          <w:b/>
          <w:bCs/>
          <w:i w:val="0"/>
          <w:caps w:val="0"/>
          <w:color w:val="auto"/>
          <w:spacing w:val="0"/>
          <w:sz w:val="32"/>
          <w:szCs w:val="32"/>
          <w:lang w:eastAsia="zh-CN"/>
        </w:rPr>
        <w:t>一是</w:t>
      </w:r>
      <w:r>
        <w:rPr>
          <w:rFonts w:hint="eastAsia" w:ascii="Times New Roman" w:hAnsi="Times New Roman" w:eastAsia="仿宋_GB2312" w:cs="Times New Roman"/>
          <w:i w:val="0"/>
          <w:caps w:val="0"/>
          <w:color w:val="auto"/>
          <w:spacing w:val="0"/>
          <w:sz w:val="32"/>
          <w:szCs w:val="32"/>
          <w:lang w:eastAsia="zh-CN"/>
        </w:rPr>
        <w:t>明确商务主管部门和企业</w:t>
      </w:r>
      <w:r>
        <w:rPr>
          <w:rFonts w:hint="default" w:ascii="Times New Roman" w:hAnsi="Times New Roman" w:eastAsia="仿宋_GB2312" w:cs="Times New Roman"/>
          <w:i w:val="0"/>
          <w:caps w:val="0"/>
          <w:color w:val="auto"/>
          <w:spacing w:val="0"/>
          <w:sz w:val="32"/>
          <w:szCs w:val="32"/>
          <w:lang w:val="en-US" w:eastAsia="zh-CN"/>
        </w:rPr>
        <w:t>须坚决贯彻落实《关于防范和惩治商务领域统计造假弄虚作假有关责任的规定》，落实统计责任，全面防范和严肃惩治商务统计造假</w:t>
      </w:r>
      <w:r>
        <w:rPr>
          <w:rFonts w:hint="eastAsia" w:ascii="Times New Roman" w:hAnsi="Times New Roman" w:eastAsia="仿宋_GB2312" w:cs="Times New Roman"/>
          <w:i w:val="0"/>
          <w:caps w:val="0"/>
          <w:color w:val="auto"/>
          <w:spacing w:val="0"/>
          <w:sz w:val="32"/>
          <w:szCs w:val="32"/>
          <w:lang w:val="en-US" w:eastAsia="zh-CN"/>
        </w:rPr>
        <w:t>、</w:t>
      </w:r>
      <w:r>
        <w:rPr>
          <w:rFonts w:hint="default" w:ascii="Times New Roman" w:hAnsi="Times New Roman" w:eastAsia="仿宋_GB2312" w:cs="Times New Roman"/>
          <w:i w:val="0"/>
          <w:caps w:val="0"/>
          <w:color w:val="auto"/>
          <w:spacing w:val="0"/>
          <w:sz w:val="32"/>
          <w:szCs w:val="32"/>
          <w:lang w:val="en-US" w:eastAsia="zh-CN"/>
        </w:rPr>
        <w:t>弄虚作假，保障统计数据质量</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商务部制定《商务统计源头数据质量核查办法》，加强统计源头数据质量管理和真实性审核。各级商务主管部门和有关企业对本辖区或下属企业的统计数据开展真实性审核，切实提高统计数据质量。</w:t>
      </w:r>
      <w:r>
        <w:rPr>
          <w:rFonts w:hint="eastAsia" w:ascii="Times New Roman" w:hAnsi="Times New Roman" w:eastAsia="仿宋_GB2312" w:cs="Times New Roman"/>
          <w:b/>
          <w:bCs/>
          <w:i w:val="0"/>
          <w:caps w:val="0"/>
          <w:color w:val="auto"/>
          <w:spacing w:val="0"/>
          <w:sz w:val="32"/>
          <w:szCs w:val="32"/>
          <w:lang w:eastAsia="zh-CN"/>
        </w:rPr>
        <w:t>三是</w:t>
      </w:r>
      <w:r>
        <w:rPr>
          <w:rFonts w:hint="eastAsia" w:ascii="Times New Roman" w:hAnsi="Times New Roman" w:eastAsia="仿宋_GB2312" w:cs="Times New Roman"/>
          <w:i w:val="0"/>
          <w:caps w:val="0"/>
          <w:color w:val="auto"/>
          <w:spacing w:val="0"/>
          <w:sz w:val="32"/>
          <w:szCs w:val="32"/>
          <w:lang w:eastAsia="zh-CN"/>
        </w:rPr>
        <w:t>明确各级商务主管部门和企业须根据工作需要配备统计人员并保持相对稳定，并提供必要的经费保障。</w:t>
      </w:r>
      <w:r>
        <w:rPr>
          <w:rFonts w:hint="default" w:ascii="Times New Roman" w:hAnsi="Times New Roman" w:eastAsia="仿宋_GB2312" w:cs="Times New Roman"/>
          <w:i w:val="0"/>
          <w:caps w:val="0"/>
          <w:color w:val="auto"/>
          <w:spacing w:val="0"/>
          <w:sz w:val="32"/>
          <w:szCs w:val="32"/>
          <w:lang w:val="en-US" w:eastAsia="zh-CN"/>
        </w:rPr>
        <w:t xml:space="preserve"> </w:t>
      </w:r>
    </w:p>
    <w:p w14:paraId="0C4B264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firstLine="642"/>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（二）</w:t>
      </w:r>
      <w:r>
        <w:rPr>
          <w:rFonts w:hint="default" w:ascii="楷体_GB2312" w:hAnsi="楷体_GB2312" w:eastAsia="楷体_GB2312" w:cs="楷体_GB2312"/>
          <w:b/>
          <w:bCs/>
          <w:i w:val="0"/>
          <w:caps w:val="0"/>
          <w:color w:val="auto"/>
          <w:spacing w:val="0"/>
          <w:sz w:val="32"/>
          <w:szCs w:val="32"/>
          <w:lang w:val="en-US" w:eastAsia="zh-CN"/>
        </w:rPr>
        <w:t>增加“监督检查”部分</w:t>
      </w:r>
      <w:r>
        <w:rPr>
          <w:rFonts w:hint="eastAsia" w:ascii="楷体_GB2312" w:hAnsi="楷体_GB2312" w:eastAsia="楷体_GB2312" w:cs="楷体_GB2312"/>
          <w:b/>
          <w:bCs/>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一是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val="en-US" w:eastAsia="zh-CN"/>
        </w:rPr>
        <w:t>各省级商务主管部门根据统计法要求，应及时向本级人民政府统计机构提供统计违法线索和相关材料，协助本级人民政府统计机构查处统计违法行为。涉及重大、典型统计违法行为，可将线索和相关材料上报商务部，由商务部移送国家统计局依法办理</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商务部将联合有关部门</w:t>
      </w:r>
      <w:r>
        <w:rPr>
          <w:rFonts w:hint="eastAsia" w:ascii="Times New Roman" w:hAnsi="Times New Roman" w:eastAsia="仿宋_GB2312" w:cs="Times New Roman"/>
          <w:i w:val="0"/>
          <w:caps w:val="0"/>
          <w:color w:val="auto"/>
          <w:spacing w:val="0"/>
          <w:sz w:val="32"/>
          <w:szCs w:val="32"/>
          <w:lang w:eastAsia="zh-CN"/>
        </w:rPr>
        <w:t>不</w:t>
      </w:r>
      <w:r>
        <w:rPr>
          <w:rFonts w:hint="default" w:ascii="Times New Roman" w:hAnsi="Times New Roman" w:eastAsia="仿宋_GB2312" w:cs="Times New Roman"/>
          <w:i w:val="0"/>
          <w:caps w:val="0"/>
          <w:color w:val="auto"/>
          <w:spacing w:val="0"/>
          <w:sz w:val="32"/>
          <w:szCs w:val="32"/>
          <w:lang w:eastAsia="zh-CN"/>
        </w:rPr>
        <w:t>定期开展统计检查</w:t>
      </w:r>
      <w:r>
        <w:rPr>
          <w:rFonts w:hint="default" w:ascii="Times New Roman" w:hAnsi="Times New Roman" w:eastAsia="仿宋_GB2312" w:cs="Times New Roman"/>
          <w:i w:val="0"/>
          <w:caps w:val="0"/>
          <w:color w:val="auto"/>
          <w:spacing w:val="0"/>
          <w:sz w:val="32"/>
          <w:szCs w:val="32"/>
          <w:lang w:val="en-US" w:eastAsia="zh-CN"/>
        </w:rPr>
        <w:t xml:space="preserve">。   </w:t>
      </w:r>
    </w:p>
    <w:p w14:paraId="2DA0F3A6">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“调查表式”部分</w:t>
      </w:r>
    </w:p>
    <w:p w14:paraId="1ECF72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Noto Sans CJK SC" w:cs="Times New Roman"/>
          <w:i w:val="0"/>
          <w:caps w:val="0"/>
          <w:color w:val="auto"/>
          <w:spacing w:val="0"/>
          <w:sz w:val="27"/>
          <w:szCs w:val="27"/>
        </w:rPr>
      </w:pPr>
      <w:r>
        <w:rPr>
          <w:rFonts w:hint="default" w:ascii="Times New Roman" w:hAnsi="Times New Roman" w:eastAsia="仿宋_GB2312" w:cs="Times New Roman"/>
          <w:i w:val="0"/>
          <w:caps w:val="0"/>
          <w:color w:val="auto"/>
          <w:spacing w:val="0"/>
          <w:sz w:val="31"/>
          <w:szCs w:val="31"/>
        </w:rPr>
        <w:t>（一）</w:t>
      </w:r>
      <w:r>
        <w:rPr>
          <w:rFonts w:hint="default" w:ascii="Times New Roman" w:hAnsi="Times New Roman" w:eastAsia="仿宋_GB2312" w:cs="Times New Roman"/>
          <w:color w:val="auto"/>
          <w:kern w:val="0"/>
          <w:sz w:val="32"/>
          <w:szCs w:val="32"/>
          <w:lang w:val="en-US" w:eastAsia="zh-CN" w:bidi="ar"/>
        </w:rPr>
        <w:t>增加“</w:t>
      </w:r>
      <w:r>
        <w:rPr>
          <w:rFonts w:hint="default" w:ascii="Times New Roman" w:hAnsi="Times New Roman" w:eastAsia="仿宋_GB2312" w:cs="Times New Roman"/>
          <w:color w:val="auto"/>
          <w:sz w:val="32"/>
          <w:szCs w:val="32"/>
          <w:lang w:eastAsia="zh-CN"/>
        </w:rPr>
        <w:t>对外承包工程企业年度经营情况”（</w:t>
      </w:r>
      <w:r>
        <w:rPr>
          <w:rFonts w:hint="default" w:ascii="Times New Roman" w:hAnsi="Times New Roman" w:eastAsia="仿宋_GB2312" w:cs="Times New Roman"/>
          <w:color w:val="auto"/>
          <w:sz w:val="32"/>
          <w:szCs w:val="32"/>
          <w:lang w:val="en-US" w:eastAsia="zh-CN"/>
        </w:rPr>
        <w:t>CBN表</w:t>
      </w:r>
      <w:r>
        <w:rPr>
          <w:rFonts w:hint="default" w:ascii="Times New Roman" w:hAnsi="Times New Roman" w:eastAsia="仿宋_GB2312" w:cs="Times New Roman"/>
          <w:color w:val="auto"/>
          <w:sz w:val="32"/>
          <w:szCs w:val="32"/>
          <w:lang w:eastAsia="zh-CN"/>
        </w:rPr>
        <w:t>），综合反映报告年度对外承包工程业务总体经营绩效。主要包括：资产总计、负债总计、所有者权益合计、营业收入总额、当年利润总额、境外纳税总额、对外承包工程营业收入占比、年末员工数量等指标。</w:t>
      </w:r>
    </w:p>
    <w:p w14:paraId="13CABF1C">
      <w:pPr>
        <w:keepNext w:val="0"/>
        <w:keepLines w:val="0"/>
        <w:pageBreakBefore w:val="0"/>
        <w:widowControl/>
        <w:suppressLineNumbers w:val="0"/>
        <w:kinsoku/>
        <w:wordWrap/>
        <w:overflowPunct/>
        <w:topLinePunct w:val="0"/>
        <w:autoSpaceDE/>
        <w:autoSpaceDN/>
        <w:bidi w:val="0"/>
        <w:adjustRightInd/>
        <w:snapToGrid w:val="0"/>
        <w:spacing w:line="360" w:lineRule="auto"/>
        <w:ind w:firstLine="620" w:firstLineChars="200"/>
        <w:jc w:val="both"/>
        <w:textAlignment w:val="auto"/>
        <w:rPr>
          <w:rFonts w:hint="default" w:ascii="Times New Roman" w:hAnsi="Times New Roman" w:eastAsia="仿宋_GB2312" w:cs="Times New Roman"/>
          <w:i w:val="0"/>
          <w:caps w:val="0"/>
          <w:color w:val="auto"/>
          <w:spacing w:val="0"/>
          <w:sz w:val="31"/>
          <w:szCs w:val="31"/>
          <w:lang w:val="en"/>
        </w:rPr>
      </w:pPr>
      <w:r>
        <w:rPr>
          <w:rFonts w:hint="default" w:ascii="Times New Roman" w:hAnsi="Times New Roman" w:eastAsia="仿宋_GB2312" w:cs="Times New Roman"/>
          <w:i w:val="0"/>
          <w:caps w:val="0"/>
          <w:color w:val="auto"/>
          <w:spacing w:val="0"/>
          <w:sz w:val="31"/>
          <w:szCs w:val="31"/>
        </w:rPr>
        <w:t>（二）</w:t>
      </w:r>
      <w:r>
        <w:rPr>
          <w:rFonts w:hint="default" w:ascii="Times New Roman" w:hAnsi="Times New Roman" w:eastAsia="仿宋_GB2312" w:cs="Times New Roman"/>
          <w:i w:val="0"/>
          <w:caps w:val="0"/>
          <w:color w:val="auto"/>
          <w:spacing w:val="0"/>
          <w:sz w:val="31"/>
          <w:szCs w:val="31"/>
          <w:lang w:eastAsia="zh-CN"/>
        </w:rPr>
        <w:t>根据对外承包工程业务发展实际，结合对外承包工程总包项目和分包项目特点，对原制度“对外承包工程业务情况”（原</w:t>
      </w:r>
      <w:r>
        <w:rPr>
          <w:rFonts w:hint="default" w:ascii="Times New Roman" w:hAnsi="Times New Roman" w:eastAsia="仿宋_GB2312" w:cs="Times New Roman"/>
          <w:i w:val="0"/>
          <w:caps w:val="0"/>
          <w:color w:val="auto"/>
          <w:spacing w:val="0"/>
          <w:sz w:val="31"/>
          <w:szCs w:val="31"/>
          <w:lang w:val="en-US" w:eastAsia="zh-CN"/>
        </w:rPr>
        <w:t>CB1表</w:t>
      </w:r>
      <w:r>
        <w:rPr>
          <w:rFonts w:hint="default" w:ascii="Times New Roman" w:hAnsi="Times New Roman" w:eastAsia="仿宋_GB2312" w:cs="Times New Roman"/>
          <w:i w:val="0"/>
          <w:caps w:val="0"/>
          <w:color w:val="auto"/>
          <w:spacing w:val="0"/>
          <w:sz w:val="31"/>
          <w:szCs w:val="31"/>
          <w:lang w:eastAsia="zh-CN"/>
        </w:rPr>
        <w:t>）及“对外承包工程项目明细”（原</w:t>
      </w:r>
      <w:r>
        <w:rPr>
          <w:rFonts w:hint="default" w:ascii="Times New Roman" w:hAnsi="Times New Roman" w:eastAsia="仿宋_GB2312" w:cs="Times New Roman"/>
          <w:i w:val="0"/>
          <w:caps w:val="0"/>
          <w:color w:val="auto"/>
          <w:spacing w:val="0"/>
          <w:sz w:val="31"/>
          <w:szCs w:val="31"/>
          <w:lang w:val="en-US" w:eastAsia="zh-CN"/>
        </w:rPr>
        <w:t>CB2表</w:t>
      </w:r>
      <w:r>
        <w:rPr>
          <w:rFonts w:hint="default" w:ascii="Times New Roman" w:hAnsi="Times New Roman" w:eastAsia="仿宋_GB2312" w:cs="Times New Roman"/>
          <w:i w:val="0"/>
          <w:caps w:val="0"/>
          <w:color w:val="auto"/>
          <w:spacing w:val="0"/>
          <w:sz w:val="31"/>
          <w:szCs w:val="31"/>
          <w:lang w:eastAsia="zh-CN"/>
        </w:rPr>
        <w:t>）进行拆分，新增“对外承包工程总包项目基本信息”表（</w:t>
      </w:r>
      <w:r>
        <w:rPr>
          <w:rFonts w:hint="default" w:ascii="Times New Roman" w:hAnsi="Times New Roman" w:eastAsia="仿宋_GB2312" w:cs="Times New Roman"/>
          <w:i w:val="0"/>
          <w:caps w:val="0"/>
          <w:color w:val="auto"/>
          <w:spacing w:val="0"/>
          <w:sz w:val="31"/>
          <w:szCs w:val="31"/>
          <w:lang w:val="en-US" w:eastAsia="zh-CN"/>
        </w:rPr>
        <w:t>CB1表</w:t>
      </w:r>
      <w:r>
        <w:rPr>
          <w:rFonts w:hint="default" w:ascii="Times New Roman" w:hAnsi="Times New Roman" w:eastAsia="仿宋_GB2312" w:cs="Times New Roman"/>
          <w:i w:val="0"/>
          <w:caps w:val="0"/>
          <w:color w:val="auto"/>
          <w:spacing w:val="0"/>
          <w:sz w:val="31"/>
          <w:szCs w:val="31"/>
          <w:lang w:eastAsia="zh-CN"/>
        </w:rPr>
        <w:t>）、“对外承包工程分包项目基本信息”表（</w:t>
      </w:r>
      <w:r>
        <w:rPr>
          <w:rFonts w:hint="default" w:ascii="Times New Roman" w:hAnsi="Times New Roman" w:eastAsia="仿宋_GB2312" w:cs="Times New Roman"/>
          <w:i w:val="0"/>
          <w:caps w:val="0"/>
          <w:color w:val="auto"/>
          <w:spacing w:val="0"/>
          <w:sz w:val="31"/>
          <w:szCs w:val="31"/>
          <w:lang w:val="en-US" w:eastAsia="zh-CN"/>
        </w:rPr>
        <w:t>CB2表</w:t>
      </w:r>
      <w:r>
        <w:rPr>
          <w:rFonts w:hint="default" w:ascii="Times New Roman" w:hAnsi="Times New Roman" w:eastAsia="仿宋_GB2312" w:cs="Times New Roman"/>
          <w:i w:val="0"/>
          <w:caps w:val="0"/>
          <w:color w:val="auto"/>
          <w:spacing w:val="0"/>
          <w:sz w:val="31"/>
          <w:szCs w:val="31"/>
          <w:lang w:eastAsia="zh-CN"/>
        </w:rPr>
        <w:t>）、“对外承包工程总包项目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），并新增项目合同工期、</w:t>
      </w:r>
      <w:r>
        <w:rPr>
          <w:rFonts w:hint="default" w:ascii="Times New Roman" w:hAnsi="Times New Roman" w:eastAsia="仿宋_GB2312" w:cs="Times New Roman"/>
          <w:bCs/>
          <w:color w:val="auto"/>
          <w:sz w:val="32"/>
          <w:szCs w:val="32"/>
          <w:lang w:eastAsia="zh-CN"/>
        </w:rPr>
        <w:t>月末待执行合同余额两项</w:t>
      </w:r>
      <w:r>
        <w:rPr>
          <w:rFonts w:hint="default" w:ascii="Times New Roman" w:hAnsi="Times New Roman" w:eastAsia="仿宋_GB2312" w:cs="Times New Roman"/>
          <w:i w:val="0"/>
          <w:caps w:val="0"/>
          <w:color w:val="auto"/>
          <w:spacing w:val="0"/>
          <w:sz w:val="31"/>
          <w:szCs w:val="31"/>
          <w:lang w:eastAsia="zh-CN"/>
        </w:rPr>
        <w:t>指标，综合反映对外承包工程签约企业、项目实施企业业务实际情况。同时取消原</w:t>
      </w:r>
      <w:r>
        <w:rPr>
          <w:rFonts w:hint="default" w:ascii="Times New Roman" w:hAnsi="Times New Roman" w:eastAsia="仿宋_GB2312" w:cs="Times New Roman"/>
          <w:i w:val="0"/>
          <w:caps w:val="0"/>
          <w:color w:val="auto"/>
          <w:spacing w:val="0"/>
          <w:sz w:val="31"/>
          <w:szCs w:val="31"/>
          <w:lang w:val="en-US" w:eastAsia="zh-CN"/>
        </w:rPr>
        <w:t>CB1、CB2表。</w:t>
      </w:r>
    </w:p>
    <w:p w14:paraId="25DF560B">
      <w:pPr>
        <w:keepNext w:val="0"/>
        <w:keepLines w:val="0"/>
        <w:pageBreakBefore w:val="0"/>
        <w:widowControl/>
        <w:suppressLineNumbers w:val="0"/>
        <w:kinsoku/>
        <w:wordWrap/>
        <w:overflowPunct/>
        <w:topLinePunct w:val="0"/>
        <w:autoSpaceDE/>
        <w:autoSpaceDN/>
        <w:bidi w:val="0"/>
        <w:adjustRightInd/>
        <w:snapToGrid w:val="0"/>
        <w:spacing w:line="360" w:lineRule="auto"/>
        <w:ind w:firstLine="640" w:firstLineChars="200"/>
        <w:jc w:val="both"/>
        <w:textAlignment w:val="auto"/>
        <w:rPr>
          <w:rFonts w:hint="default" w:ascii="Times New Roman" w:hAnsi="Times New Roman" w:eastAsia="仿宋_GB2312" w:cs="Times New Roman"/>
          <w:i w:val="0"/>
          <w:caps w:val="0"/>
          <w:color w:val="auto"/>
          <w:spacing w:val="0"/>
          <w:sz w:val="31"/>
          <w:szCs w:val="31"/>
          <w:lang w:eastAsia="zh-CN"/>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i w:val="0"/>
          <w:caps w:val="0"/>
          <w:color w:val="auto"/>
          <w:spacing w:val="0"/>
          <w:sz w:val="31"/>
          <w:szCs w:val="31"/>
          <w:lang w:eastAsia="zh-CN"/>
        </w:rPr>
        <w:t>取消原“对外设计咨询项目明细”表（原</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），将设计咨询新签合同额、完成营业额指标纳入“对外承包工程总包项目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）统计。</w:t>
      </w:r>
    </w:p>
    <w:p w14:paraId="2B4A91A2">
      <w:pPr>
        <w:keepNext w:val="0"/>
        <w:keepLines w:val="0"/>
        <w:pageBreakBefore w:val="0"/>
        <w:tabs>
          <w:tab w:val="left" w:pos="724"/>
        </w:tabs>
        <w:kinsoku/>
        <w:wordWrap/>
        <w:overflowPunct/>
        <w:topLinePunct w:val="0"/>
        <w:autoSpaceDE/>
        <w:autoSpaceDN/>
        <w:bidi w:val="0"/>
        <w:adjustRightInd/>
        <w:snapToGrid w:val="0"/>
        <w:spacing w:line="360" w:lineRule="auto"/>
        <w:jc w:val="left"/>
        <w:textAlignment w:val="auto"/>
        <w:rPr>
          <w:rFonts w:hint="default" w:ascii="Times New Roman" w:hAnsi="Times New Roman" w:eastAsia="仿宋_GB2312" w:cs="Times New Roman"/>
          <w:i w:val="0"/>
          <w:caps w:val="0"/>
          <w:color w:val="auto"/>
          <w:spacing w:val="0"/>
          <w:sz w:val="31"/>
          <w:szCs w:val="31"/>
          <w:lang w:eastAsia="zh-CN"/>
        </w:rPr>
      </w:pPr>
      <w:r>
        <w:rPr>
          <w:rFonts w:hint="default" w:cs="Times New Roman"/>
          <w:kern w:val="2"/>
          <w:sz w:val="21"/>
          <w:szCs w:val="24"/>
          <w:lang w:val="en" w:eastAsia="zh-CN" w:bidi="ar-SA"/>
        </w:rPr>
        <w:tab/>
      </w:r>
      <w:r>
        <w:rPr>
          <w:rFonts w:hint="default" w:ascii="Times New Roman" w:hAnsi="Times New Roman" w:eastAsia="仿宋_GB2312" w:cs="Times New Roman"/>
          <w:i w:val="0"/>
          <w:caps w:val="0"/>
          <w:color w:val="auto"/>
          <w:spacing w:val="0"/>
          <w:sz w:val="31"/>
          <w:szCs w:val="31"/>
          <w:lang w:eastAsia="zh-CN"/>
        </w:rPr>
        <w:t>（四）取消“对外承包节能环保清洁类项目明细”表（原</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）、“新签交通运输建设项目明细”表（原</w:t>
      </w:r>
      <w:r>
        <w:rPr>
          <w:rFonts w:hint="default" w:ascii="Times New Roman" w:hAnsi="Times New Roman" w:eastAsia="仿宋_GB2312" w:cs="Times New Roman"/>
          <w:i w:val="0"/>
          <w:caps w:val="0"/>
          <w:color w:val="auto"/>
          <w:spacing w:val="0"/>
          <w:sz w:val="31"/>
          <w:szCs w:val="31"/>
          <w:lang w:val="en-US" w:eastAsia="zh-CN"/>
        </w:rPr>
        <w:t>CB5表</w:t>
      </w:r>
      <w:r>
        <w:rPr>
          <w:rFonts w:hint="default" w:ascii="Times New Roman" w:hAnsi="Times New Roman" w:eastAsia="仿宋_GB2312" w:cs="Times New Roman"/>
          <w:i w:val="0"/>
          <w:caps w:val="0"/>
          <w:color w:val="auto"/>
          <w:spacing w:val="0"/>
          <w:sz w:val="31"/>
          <w:szCs w:val="31"/>
          <w:lang w:eastAsia="zh-CN"/>
        </w:rPr>
        <w:t>）、“新签电力建设项目明细”表（原</w:t>
      </w:r>
      <w:r>
        <w:rPr>
          <w:rFonts w:hint="default" w:ascii="Times New Roman" w:hAnsi="Times New Roman" w:eastAsia="仿宋_GB2312" w:cs="Times New Roman"/>
          <w:i w:val="0"/>
          <w:caps w:val="0"/>
          <w:color w:val="auto"/>
          <w:spacing w:val="0"/>
          <w:sz w:val="31"/>
          <w:szCs w:val="31"/>
          <w:lang w:val="en-US" w:eastAsia="zh-CN"/>
        </w:rPr>
        <w:t>CB6表</w:t>
      </w:r>
      <w:r>
        <w:rPr>
          <w:rFonts w:hint="default" w:ascii="Times New Roman" w:hAnsi="Times New Roman" w:eastAsia="仿宋_GB2312" w:cs="Times New Roman"/>
          <w:i w:val="0"/>
          <w:caps w:val="0"/>
          <w:color w:val="auto"/>
          <w:spacing w:val="0"/>
          <w:sz w:val="31"/>
          <w:szCs w:val="31"/>
          <w:lang w:eastAsia="zh-CN"/>
        </w:rPr>
        <w:t>），相关数据由“对外承包工程总包项目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）自动生成。</w:t>
      </w:r>
    </w:p>
    <w:p w14:paraId="36C7098D">
      <w:pPr>
        <w:keepNext w:val="0"/>
        <w:keepLines w:val="0"/>
        <w:pageBreakBefore w:val="0"/>
        <w:widowControl/>
        <w:suppressLineNumbers w:val="0"/>
        <w:kinsoku/>
        <w:wordWrap/>
        <w:overflowPunct/>
        <w:topLinePunct w:val="0"/>
        <w:autoSpaceDE/>
        <w:autoSpaceDN/>
        <w:bidi w:val="0"/>
        <w:adjustRightInd/>
        <w:snapToGrid w:val="0"/>
        <w:spacing w:line="360" w:lineRule="auto"/>
        <w:ind w:firstLine="620" w:firstLineChars="200"/>
        <w:jc w:val="both"/>
        <w:textAlignment w:val="auto"/>
        <w:rPr>
          <w:rFonts w:hint="default" w:ascii="Times New Roman" w:hAnsi="Times New Roman" w:eastAsia="仿宋_GB2312" w:cs="Times New Roman"/>
          <w:i w:val="0"/>
          <w:caps w:val="0"/>
          <w:color w:val="auto"/>
          <w:spacing w:val="0"/>
          <w:sz w:val="31"/>
          <w:szCs w:val="31"/>
          <w:lang w:eastAsia="zh-CN"/>
        </w:rPr>
      </w:pPr>
      <w:r>
        <w:rPr>
          <w:rFonts w:hint="default" w:ascii="Times New Roman" w:hAnsi="Times New Roman" w:eastAsia="仿宋_GB2312" w:cs="Times New Roman"/>
          <w:i w:val="0"/>
          <w:caps w:val="0"/>
          <w:color w:val="auto"/>
          <w:spacing w:val="0"/>
          <w:sz w:val="31"/>
          <w:szCs w:val="31"/>
          <w:lang w:eastAsia="zh-CN"/>
        </w:rPr>
        <w:t>（五）新增“对外承包工程项目中方人员构成</w:t>
      </w:r>
      <w:r>
        <w:rPr>
          <w:rFonts w:hint="eastAsia" w:ascii="Times New Roman" w:hAnsi="Times New Roman" w:eastAsia="仿宋_GB2312" w:cs="Times New Roman"/>
          <w:i w:val="0"/>
          <w:caps w:val="0"/>
          <w:color w:val="auto"/>
          <w:spacing w:val="0"/>
          <w:sz w:val="31"/>
          <w:szCs w:val="31"/>
          <w:lang w:eastAsia="zh-CN"/>
        </w:rPr>
        <w:t>及变化</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CB5表</w:t>
      </w:r>
      <w:r>
        <w:rPr>
          <w:rFonts w:hint="default" w:ascii="Times New Roman" w:hAnsi="Times New Roman" w:eastAsia="仿宋_GB2312" w:cs="Times New Roman"/>
          <w:i w:val="0"/>
          <w:caps w:val="0"/>
          <w:color w:val="auto"/>
          <w:spacing w:val="0"/>
          <w:sz w:val="31"/>
          <w:szCs w:val="31"/>
          <w:lang w:eastAsia="zh-CN"/>
        </w:rPr>
        <w:t>），反映项目中方人员行业构成和变化情况。</w:t>
      </w:r>
    </w:p>
    <w:p w14:paraId="0EEEB539">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“附录”部分</w:t>
      </w:r>
    </w:p>
    <w:p w14:paraId="4A8AF8BD">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640" w:firstLineChars="200"/>
        <w:jc w:val="both"/>
        <w:textAlignment w:val="auto"/>
        <w:rPr>
          <w:rFonts w:ascii="Times New Roman" w:hAnsi="Times New Roman"/>
        </w:rPr>
      </w:pPr>
      <w:r>
        <w:rPr>
          <w:rFonts w:hint="default" w:ascii="Times New Roman" w:hAnsi="Times New Roman" w:eastAsia="仿宋_GB2312" w:cs="Times New Roman"/>
          <w:color w:val="auto"/>
          <w:sz w:val="32"/>
          <w:szCs w:val="32"/>
          <w:lang w:eastAsia="zh-CN"/>
        </w:rPr>
        <w:t>《对外承包工程项目分类》和《节能环保清洁类项目界定》中分别增加</w:t>
      </w:r>
      <w:r>
        <w:rPr>
          <w:rFonts w:hint="default" w:ascii="Times New Roman" w:hAnsi="Times New Roman" w:eastAsia="仿宋_GB2312" w:cs="Times New Roman"/>
          <w:color w:val="auto"/>
          <w:sz w:val="32"/>
          <w:szCs w:val="32"/>
          <w:lang w:val="en-US" w:eastAsia="zh-CN"/>
        </w:rPr>
        <w:t>3个类别：E6二氧化碳捕集、封存、利用（CCS、CCUS）相关工程施工、运营与技术服务，H10储能（电化学、压缩空气等）相关工程施工、运营与技术服务，H11绿氢制备、存储、运输、加工相关工程施工、运营与技术服务。将原项目分类大类K“其他”调整为“采矿及其他”</w:t>
      </w:r>
      <w:r>
        <w:rPr>
          <w:rFonts w:hint="default" w:ascii="Times New Roman" w:hAnsi="Times New Roman" w:eastAsia="仿宋_GB2312" w:cs="Times New Roman"/>
          <w:i w:val="0"/>
          <w:caps w:val="0"/>
          <w:color w:val="auto"/>
          <w:spacing w:val="0"/>
          <w:sz w:val="31"/>
          <w:szCs w:val="31"/>
        </w:rPr>
        <w:t>。</w:t>
      </w:r>
    </w:p>
    <w:p w14:paraId="239A537F">
      <w:pPr>
        <w:widowControl/>
        <w:spacing w:line="620" w:lineRule="exact"/>
        <w:ind w:right="0" w:rightChars="0"/>
        <w:jc w:val="both"/>
        <w:rPr>
          <w:rFonts w:hint="default" w:ascii="Times New Roman" w:hAnsi="Times New Roman" w:eastAsia="黑体" w:cs="Times New Roman"/>
          <w:b w:val="0"/>
          <w:bCs/>
          <w:strike w:val="0"/>
          <w:dstrike w:val="0"/>
          <w:sz w:val="32"/>
          <w:szCs w:val="32"/>
          <w:highlight w:val="none"/>
          <w:u w:val="none"/>
          <w:lang w:val="en-US" w:eastAsia="zh-CN"/>
        </w:rPr>
      </w:pPr>
      <w:r>
        <w:rPr>
          <w:rFonts w:hint="default"/>
          <w:lang w:val="en-US" w:eastAsia="zh-CN"/>
        </w:rPr>
        <w:br w:type="page"/>
      </w:r>
      <w:r>
        <w:rPr>
          <w:rFonts w:hint="default" w:ascii="Times New Roman" w:hAnsi="Times New Roman" w:eastAsia="黑体" w:cs="Times New Roman"/>
          <w:b w:val="0"/>
          <w:bCs/>
          <w:strike w:val="0"/>
          <w:dstrike w:val="0"/>
          <w:sz w:val="32"/>
          <w:szCs w:val="32"/>
          <w:highlight w:val="none"/>
          <w:u w:val="none"/>
          <w:lang w:val="en" w:eastAsia="zh-CN"/>
        </w:rPr>
        <w:t>附件</w:t>
      </w:r>
      <w:r>
        <w:rPr>
          <w:rFonts w:hint="eastAsia" w:ascii="Times New Roman" w:hAnsi="Times New Roman" w:eastAsia="黑体" w:cs="Times New Roman"/>
          <w:b w:val="0"/>
          <w:bCs/>
          <w:strike w:val="0"/>
          <w:dstrike w:val="0"/>
          <w:sz w:val="32"/>
          <w:szCs w:val="32"/>
          <w:highlight w:val="none"/>
          <w:u w:val="none"/>
          <w:lang w:val="en-US" w:eastAsia="zh-CN"/>
        </w:rPr>
        <w:t>2</w:t>
      </w:r>
    </w:p>
    <w:p w14:paraId="75BE4D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黑体" w:cs="Times New Roman"/>
          <w:i w:val="0"/>
          <w:caps w:val="0"/>
          <w:color w:val="262626"/>
          <w:spacing w:val="0"/>
          <w:sz w:val="31"/>
          <w:szCs w:val="31"/>
          <w:lang w:val="en-US" w:eastAsia="zh-CN"/>
        </w:rPr>
      </w:pPr>
    </w:p>
    <w:p w14:paraId="42E1827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方正小标宋_GBK" w:cs="Times New Roman"/>
          <w:b w:val="0"/>
          <w:bCs w:val="0"/>
          <w:i w:val="0"/>
          <w:caps w:val="0"/>
          <w:color w:val="auto"/>
          <w:spacing w:val="0"/>
          <w:sz w:val="44"/>
          <w:szCs w:val="44"/>
          <w:lang w:eastAsia="zh-CN"/>
        </w:rPr>
      </w:pPr>
      <w:r>
        <w:rPr>
          <w:rFonts w:hint="default" w:ascii="Times New Roman" w:hAnsi="Times New Roman" w:eastAsia="方正小标宋_GBK" w:cs="Times New Roman"/>
          <w:b w:val="0"/>
          <w:bCs w:val="0"/>
          <w:i w:val="0"/>
          <w:caps w:val="0"/>
          <w:color w:val="auto"/>
          <w:spacing w:val="0"/>
          <w:sz w:val="44"/>
          <w:szCs w:val="44"/>
        </w:rPr>
        <w:t>《对外</w:t>
      </w:r>
      <w:r>
        <w:rPr>
          <w:rFonts w:hint="default" w:ascii="Times New Roman" w:hAnsi="Times New Roman" w:eastAsia="方正小标宋_GBK" w:cs="Times New Roman"/>
          <w:b w:val="0"/>
          <w:bCs w:val="0"/>
          <w:i w:val="0"/>
          <w:caps w:val="0"/>
          <w:color w:val="auto"/>
          <w:spacing w:val="0"/>
          <w:sz w:val="44"/>
          <w:szCs w:val="44"/>
          <w:lang w:eastAsia="zh-CN"/>
        </w:rPr>
        <w:t>劳务合作</w:t>
      </w:r>
      <w:r>
        <w:rPr>
          <w:rFonts w:hint="default" w:ascii="Times New Roman" w:hAnsi="Times New Roman" w:eastAsia="方正小标宋_GBK" w:cs="Times New Roman"/>
          <w:b w:val="0"/>
          <w:bCs w:val="0"/>
          <w:i w:val="0"/>
          <w:caps w:val="0"/>
          <w:color w:val="auto"/>
          <w:spacing w:val="0"/>
          <w:sz w:val="44"/>
          <w:szCs w:val="44"/>
        </w:rPr>
        <w:t>业务统计调查制度》</w:t>
      </w:r>
      <w:r>
        <w:rPr>
          <w:rFonts w:hint="default" w:ascii="Times New Roman" w:hAnsi="Times New Roman" w:eastAsia="方正小标宋_GBK" w:cs="Times New Roman"/>
          <w:b w:val="0"/>
          <w:bCs w:val="0"/>
          <w:i w:val="0"/>
          <w:caps w:val="0"/>
          <w:color w:val="auto"/>
          <w:spacing w:val="0"/>
          <w:sz w:val="44"/>
          <w:szCs w:val="44"/>
          <w:lang w:eastAsia="zh-CN"/>
        </w:rPr>
        <w:t>修订说明</w:t>
      </w:r>
    </w:p>
    <w:p w14:paraId="1BF963B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方正小标宋_GBK" w:cs="Times New Roman"/>
          <w:b w:val="0"/>
          <w:bCs w:val="0"/>
          <w:i w:val="0"/>
          <w:caps w:val="0"/>
          <w:color w:val="auto"/>
          <w:spacing w:val="0"/>
          <w:sz w:val="44"/>
          <w:szCs w:val="44"/>
          <w:lang w:eastAsia="zh-CN"/>
        </w:rPr>
      </w:pPr>
    </w:p>
    <w:p w14:paraId="6CC93510">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eastAsia" w:ascii="黑体" w:hAnsi="黑体" w:eastAsia="黑体" w:cs="黑体"/>
          <w:i w:val="0"/>
          <w:caps w:val="0"/>
          <w:color w:val="262626"/>
          <w:spacing w:val="0"/>
          <w:sz w:val="32"/>
          <w:szCs w:val="32"/>
          <w:lang w:eastAsia="zh-CN"/>
        </w:rPr>
      </w:pPr>
      <w:r>
        <w:rPr>
          <w:rFonts w:hint="eastAsia" w:ascii="黑体" w:hAnsi="黑体" w:eastAsia="黑体" w:cs="黑体"/>
          <w:i w:val="0"/>
          <w:caps w:val="0"/>
          <w:color w:val="262626"/>
          <w:spacing w:val="0"/>
          <w:sz w:val="32"/>
          <w:szCs w:val="32"/>
          <w:lang w:eastAsia="zh-CN"/>
        </w:rPr>
        <w:t>“总说明”部分</w:t>
      </w:r>
    </w:p>
    <w:p w14:paraId="5D68619F">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 xml:space="preserve">    （一）</w:t>
      </w:r>
      <w:r>
        <w:rPr>
          <w:rFonts w:hint="eastAsia" w:ascii="楷体_GB2312" w:hAnsi="楷体_GB2312" w:eastAsia="楷体_GB2312" w:cs="楷体_GB2312"/>
          <w:b/>
          <w:bCs/>
          <w:i w:val="0"/>
          <w:caps w:val="0"/>
          <w:color w:val="auto"/>
          <w:spacing w:val="0"/>
          <w:sz w:val="32"/>
          <w:szCs w:val="32"/>
          <w:lang w:eastAsia="zh-CN"/>
        </w:rPr>
        <w:t>完善</w:t>
      </w:r>
      <w:r>
        <w:rPr>
          <w:rFonts w:hint="default" w:ascii="楷体_GB2312" w:hAnsi="楷体_GB2312" w:eastAsia="楷体_GB2312" w:cs="楷体_GB2312"/>
          <w:b/>
          <w:bCs/>
          <w:i w:val="0"/>
          <w:caps w:val="0"/>
          <w:color w:val="auto"/>
          <w:spacing w:val="0"/>
          <w:sz w:val="32"/>
          <w:szCs w:val="32"/>
          <w:lang w:eastAsia="zh-CN"/>
        </w:rPr>
        <w:t>“质量控制”</w:t>
      </w:r>
      <w:r>
        <w:rPr>
          <w:rFonts w:hint="eastAsia" w:ascii="楷体_GB2312" w:hAnsi="楷体_GB2312" w:eastAsia="楷体_GB2312" w:cs="楷体_GB2312"/>
          <w:b/>
          <w:bCs/>
          <w:i w:val="0"/>
          <w:caps w:val="0"/>
          <w:color w:val="auto"/>
          <w:spacing w:val="0"/>
          <w:sz w:val="32"/>
          <w:szCs w:val="32"/>
          <w:lang w:eastAsia="zh-CN"/>
        </w:rPr>
        <w:t>相关内容。</w:t>
      </w:r>
      <w:r>
        <w:rPr>
          <w:rFonts w:hint="eastAsia" w:ascii="Times New Roman" w:hAnsi="Times New Roman" w:eastAsia="仿宋_GB2312" w:cs="Times New Roman"/>
          <w:b/>
          <w:bCs/>
          <w:i w:val="0"/>
          <w:caps w:val="0"/>
          <w:color w:val="auto"/>
          <w:spacing w:val="0"/>
          <w:sz w:val="32"/>
          <w:szCs w:val="32"/>
          <w:lang w:eastAsia="zh-CN"/>
        </w:rPr>
        <w:t>一是</w:t>
      </w:r>
      <w:r>
        <w:rPr>
          <w:rFonts w:hint="eastAsia" w:ascii="Times New Roman" w:hAnsi="Times New Roman" w:eastAsia="仿宋_GB2312" w:cs="Times New Roman"/>
          <w:i w:val="0"/>
          <w:caps w:val="0"/>
          <w:color w:val="auto"/>
          <w:spacing w:val="0"/>
          <w:sz w:val="32"/>
          <w:szCs w:val="32"/>
          <w:lang w:eastAsia="zh-CN"/>
        </w:rPr>
        <w:t>明确商务主管部门和企业</w:t>
      </w:r>
      <w:r>
        <w:rPr>
          <w:rFonts w:hint="default" w:ascii="Times New Roman" w:hAnsi="Times New Roman" w:eastAsia="仿宋_GB2312" w:cs="Times New Roman"/>
          <w:i w:val="0"/>
          <w:caps w:val="0"/>
          <w:color w:val="auto"/>
          <w:spacing w:val="0"/>
          <w:sz w:val="32"/>
          <w:szCs w:val="32"/>
          <w:lang w:val="en-US" w:eastAsia="zh-CN"/>
        </w:rPr>
        <w:t>须坚决贯彻落实《关于防范和惩治商务领域统计造假弄虚作假有关责任的规定》，落实统计责任，全面防范和严肃惩治商务统计造假</w:t>
      </w:r>
      <w:r>
        <w:rPr>
          <w:rFonts w:hint="eastAsia" w:ascii="Times New Roman" w:hAnsi="Times New Roman" w:eastAsia="仿宋_GB2312" w:cs="Times New Roman"/>
          <w:i w:val="0"/>
          <w:caps w:val="0"/>
          <w:color w:val="auto"/>
          <w:spacing w:val="0"/>
          <w:sz w:val="32"/>
          <w:szCs w:val="32"/>
          <w:lang w:val="en-US" w:eastAsia="zh-CN"/>
        </w:rPr>
        <w:t>、</w:t>
      </w:r>
      <w:r>
        <w:rPr>
          <w:rFonts w:hint="default" w:ascii="Times New Roman" w:hAnsi="Times New Roman" w:eastAsia="仿宋_GB2312" w:cs="Times New Roman"/>
          <w:i w:val="0"/>
          <w:caps w:val="0"/>
          <w:color w:val="auto"/>
          <w:spacing w:val="0"/>
          <w:sz w:val="32"/>
          <w:szCs w:val="32"/>
          <w:lang w:val="en-US" w:eastAsia="zh-CN"/>
        </w:rPr>
        <w:t>弄虚作假，保障统计数据质量</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商务部制定《商务统计源头数据质量核查办法》，加强统计源头数据质量管理和真实性审核。各级商务主管部门和有关企业对本辖区或下属企业的统计数据开展真实性审核，切实提高统计数据质量。</w:t>
      </w:r>
      <w:r>
        <w:rPr>
          <w:rFonts w:hint="eastAsia" w:ascii="Times New Roman" w:hAnsi="Times New Roman" w:eastAsia="仿宋_GB2312" w:cs="Times New Roman"/>
          <w:b/>
          <w:bCs/>
          <w:i w:val="0"/>
          <w:caps w:val="0"/>
          <w:color w:val="auto"/>
          <w:spacing w:val="0"/>
          <w:sz w:val="32"/>
          <w:szCs w:val="32"/>
          <w:lang w:eastAsia="zh-CN"/>
        </w:rPr>
        <w:t>三是</w:t>
      </w:r>
      <w:r>
        <w:rPr>
          <w:rFonts w:hint="eastAsia" w:ascii="Times New Roman" w:hAnsi="Times New Roman" w:eastAsia="仿宋_GB2312" w:cs="Times New Roman"/>
          <w:i w:val="0"/>
          <w:caps w:val="0"/>
          <w:color w:val="auto"/>
          <w:spacing w:val="0"/>
          <w:sz w:val="32"/>
          <w:szCs w:val="32"/>
          <w:lang w:eastAsia="zh-CN"/>
        </w:rPr>
        <w:t>明确各级商务主管部门和企业须根据工作需要配备统计人员并保持相对稳定，并提供必要的经费保障。</w:t>
      </w:r>
      <w:r>
        <w:rPr>
          <w:rFonts w:hint="default" w:ascii="Times New Roman" w:hAnsi="Times New Roman" w:eastAsia="仿宋_GB2312" w:cs="Times New Roman"/>
          <w:i w:val="0"/>
          <w:caps w:val="0"/>
          <w:color w:val="auto"/>
          <w:spacing w:val="0"/>
          <w:sz w:val="32"/>
          <w:szCs w:val="32"/>
          <w:lang w:val="en-US" w:eastAsia="zh-CN"/>
        </w:rPr>
        <w:t xml:space="preserve"> </w:t>
      </w:r>
    </w:p>
    <w:p w14:paraId="55325C2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 xml:space="preserve">    （二）</w:t>
      </w:r>
      <w:r>
        <w:rPr>
          <w:rFonts w:hint="default" w:ascii="楷体_GB2312" w:hAnsi="楷体_GB2312" w:eastAsia="楷体_GB2312" w:cs="楷体_GB2312"/>
          <w:b/>
          <w:bCs/>
          <w:i w:val="0"/>
          <w:caps w:val="0"/>
          <w:color w:val="auto"/>
          <w:spacing w:val="0"/>
          <w:sz w:val="32"/>
          <w:szCs w:val="32"/>
          <w:lang w:val="en-US" w:eastAsia="zh-CN"/>
        </w:rPr>
        <w:t>增加“监督检查”部分</w:t>
      </w:r>
      <w:r>
        <w:rPr>
          <w:rFonts w:hint="eastAsia" w:ascii="楷体_GB2312" w:hAnsi="楷体_GB2312" w:eastAsia="楷体_GB2312" w:cs="楷体_GB2312"/>
          <w:b/>
          <w:bCs/>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一是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val="en-US" w:eastAsia="zh-CN"/>
        </w:rPr>
        <w:t>各省级商务主管部门根据《统计法》要求，应及时向本级人民政府统计机构提供统计违法线索和相关材料，协助本级人民政府统计机构查处统计违法行为。涉及重大、典型统计违法行为，可将线索和相关材料上报商务部，由商务部移送国家统计局依法办理</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商务部将联合有关部门</w:t>
      </w:r>
      <w:r>
        <w:rPr>
          <w:rFonts w:hint="eastAsia" w:ascii="Times New Roman" w:hAnsi="Times New Roman" w:eastAsia="仿宋_GB2312" w:cs="Times New Roman"/>
          <w:i w:val="0"/>
          <w:caps w:val="0"/>
          <w:color w:val="auto"/>
          <w:spacing w:val="0"/>
          <w:sz w:val="32"/>
          <w:szCs w:val="32"/>
          <w:lang w:eastAsia="zh-CN"/>
        </w:rPr>
        <w:t>不</w:t>
      </w:r>
      <w:r>
        <w:rPr>
          <w:rFonts w:hint="default" w:ascii="Times New Roman" w:hAnsi="Times New Roman" w:eastAsia="仿宋_GB2312" w:cs="Times New Roman"/>
          <w:i w:val="0"/>
          <w:caps w:val="0"/>
          <w:color w:val="auto"/>
          <w:spacing w:val="0"/>
          <w:sz w:val="32"/>
          <w:szCs w:val="32"/>
          <w:lang w:eastAsia="zh-CN"/>
        </w:rPr>
        <w:t>定期开展统计检查</w:t>
      </w:r>
      <w:r>
        <w:rPr>
          <w:rFonts w:hint="default" w:ascii="Times New Roman" w:hAnsi="Times New Roman" w:eastAsia="仿宋_GB2312" w:cs="Times New Roman"/>
          <w:i w:val="0"/>
          <w:caps w:val="0"/>
          <w:color w:val="auto"/>
          <w:spacing w:val="0"/>
          <w:sz w:val="32"/>
          <w:szCs w:val="32"/>
          <w:lang w:val="en-US" w:eastAsia="zh-CN"/>
        </w:rPr>
        <w:t xml:space="preserve">。   </w:t>
      </w:r>
    </w:p>
    <w:p w14:paraId="78767BF5">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“调查表式”部分</w:t>
      </w:r>
    </w:p>
    <w:p w14:paraId="7F70568D">
      <w:pPr>
        <w:keepNext w:val="0"/>
        <w:keepLines w:val="0"/>
        <w:pageBreakBefore w:val="0"/>
        <w:tabs>
          <w:tab w:val="left" w:pos="758"/>
        </w:tabs>
        <w:kinsoku/>
        <w:wordWrap/>
        <w:overflowPunct/>
        <w:topLinePunct w:val="0"/>
        <w:autoSpaceDE/>
        <w:autoSpaceDN/>
        <w:bidi w:val="0"/>
        <w:adjustRightInd/>
        <w:snapToGrid w:val="0"/>
        <w:spacing w:line="360" w:lineRule="auto"/>
        <w:jc w:val="both"/>
        <w:textAlignment w:val="auto"/>
        <w:rPr>
          <w:rFonts w:hint="default" w:ascii="Times New Roman" w:hAnsi="Times New Roman" w:eastAsia="Noto Sans CJK SC" w:cs="Times New Roman"/>
          <w:i w:val="0"/>
          <w:caps w:val="0"/>
          <w:color w:val="262626"/>
          <w:spacing w:val="0"/>
          <w:sz w:val="27"/>
          <w:szCs w:val="27"/>
          <w:lang w:val="en-US"/>
        </w:rPr>
      </w:pPr>
      <w:r>
        <w:rPr>
          <w:rFonts w:hint="eastAsia"/>
          <w:lang w:eastAsia="zh-CN"/>
        </w:rPr>
        <w:tab/>
      </w:r>
      <w:r>
        <w:rPr>
          <w:rFonts w:hint="default" w:ascii="Times New Roman" w:hAnsi="Times New Roman"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262626"/>
          <w:spacing w:val="0"/>
          <w:sz w:val="31"/>
          <w:szCs w:val="31"/>
        </w:rPr>
        <w:t>一）</w:t>
      </w:r>
      <w:r>
        <w:rPr>
          <w:rFonts w:hint="default" w:ascii="Times New Roman" w:hAnsi="Times New Roman" w:eastAsia="仿宋_GB2312" w:cs="Times New Roman"/>
          <w:i w:val="0"/>
          <w:caps w:val="0"/>
          <w:color w:val="262626"/>
          <w:spacing w:val="0"/>
          <w:sz w:val="31"/>
          <w:szCs w:val="31"/>
          <w:lang w:val="en-US" w:eastAsia="zh-CN"/>
        </w:rPr>
        <w:t xml:space="preserve"> </w:t>
      </w:r>
      <w:r>
        <w:rPr>
          <w:rFonts w:hint="default" w:ascii="Times New Roman" w:hAnsi="Times New Roman" w:eastAsia="仿宋_GB2312" w:cs="Times New Roman"/>
          <w:color w:val="auto"/>
          <w:kern w:val="0"/>
          <w:sz w:val="32"/>
          <w:szCs w:val="32"/>
          <w:lang w:val="en-US" w:eastAsia="zh-CN" w:bidi="ar"/>
        </w:rPr>
        <w:t>增加“</w:t>
      </w:r>
      <w:r>
        <w:rPr>
          <w:rFonts w:hint="default" w:ascii="Times New Roman" w:hAnsi="Times New Roman" w:eastAsia="仿宋_GB2312" w:cs="Times New Roman"/>
          <w:sz w:val="32"/>
          <w:szCs w:val="32"/>
          <w:lang w:eastAsia="zh-CN"/>
        </w:rPr>
        <w:t>对外劳务合作企业经营情况”年报表（</w:t>
      </w:r>
      <w:r>
        <w:rPr>
          <w:rFonts w:hint="default" w:ascii="Times New Roman" w:hAnsi="Times New Roman" w:eastAsia="仿宋_GB2312" w:cs="Times New Roman"/>
          <w:sz w:val="32"/>
          <w:szCs w:val="32"/>
          <w:lang w:val="en-US" w:eastAsia="zh-CN"/>
        </w:rPr>
        <w:t>LWN表</w:t>
      </w:r>
      <w:r>
        <w:rPr>
          <w:rFonts w:hint="default" w:ascii="Times New Roman" w:hAnsi="Times New Roman" w:eastAsia="仿宋_GB2312" w:cs="Times New Roman"/>
          <w:sz w:val="32"/>
          <w:szCs w:val="32"/>
          <w:lang w:eastAsia="zh-CN"/>
        </w:rPr>
        <w:t>），综合反映报告年度对外劳务合作业务总体经营绩效。主要包括：资产总计、负债总计、所有者权益合计、营业收入总额（其中对外劳务合作业务营收总额）、当年利润总额、年末员工数量、培训支出、为境外劳务人员缴纳各类保费支出等指标。</w:t>
      </w:r>
    </w:p>
    <w:p w14:paraId="192AB6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仿宋_GB2312" w:cs="Times New Roman"/>
          <w:i w:val="0"/>
          <w:caps w:val="0"/>
          <w:color w:val="262626"/>
          <w:spacing w:val="0"/>
          <w:sz w:val="32"/>
          <w:szCs w:val="32"/>
          <w:lang w:eastAsia="zh-CN"/>
        </w:rPr>
      </w:pPr>
      <w:r>
        <w:rPr>
          <w:rFonts w:hint="default" w:ascii="Times New Roman" w:hAnsi="Times New Roman" w:eastAsia="仿宋_GB2312" w:cs="Times New Roman"/>
          <w:i w:val="0"/>
          <w:caps w:val="0"/>
          <w:color w:val="262626"/>
          <w:spacing w:val="0"/>
          <w:sz w:val="32"/>
          <w:szCs w:val="32"/>
          <w:lang w:eastAsia="zh-CN"/>
        </w:rPr>
        <w:t>（二）</w:t>
      </w:r>
      <w:r>
        <w:rPr>
          <w:rFonts w:hint="default" w:ascii="Times New Roman" w:hAnsi="Times New Roman" w:eastAsia="仿宋_GB2312" w:cs="Times New Roman"/>
          <w:i w:val="0"/>
          <w:caps w:val="0"/>
          <w:color w:val="262626"/>
          <w:spacing w:val="0"/>
          <w:sz w:val="32"/>
          <w:szCs w:val="32"/>
          <w:lang w:val="en-US" w:eastAsia="zh-CN"/>
        </w:rPr>
        <w:t xml:space="preserve"> </w:t>
      </w:r>
      <w:r>
        <w:rPr>
          <w:rFonts w:hint="default" w:ascii="Times New Roman" w:hAnsi="Times New Roman" w:eastAsia="仿宋_GB2312" w:cs="Times New Roman"/>
          <w:i w:val="0"/>
          <w:caps w:val="0"/>
          <w:color w:val="262626"/>
          <w:spacing w:val="0"/>
          <w:sz w:val="32"/>
          <w:szCs w:val="32"/>
          <w:lang w:eastAsia="zh-CN"/>
        </w:rPr>
        <w:t>将原“对外劳务合作派出人员构成”（原</w:t>
      </w:r>
      <w:r>
        <w:rPr>
          <w:rFonts w:hint="default" w:ascii="Times New Roman" w:hAnsi="Times New Roman" w:eastAsia="仿宋_GB2312" w:cs="Times New Roman"/>
          <w:i w:val="0"/>
          <w:caps w:val="0"/>
          <w:color w:val="262626"/>
          <w:spacing w:val="0"/>
          <w:sz w:val="32"/>
          <w:szCs w:val="32"/>
          <w:lang w:val="en-US" w:eastAsia="zh-CN"/>
        </w:rPr>
        <w:t>LW1表</w:t>
      </w:r>
      <w:r>
        <w:rPr>
          <w:rFonts w:hint="default" w:ascii="Times New Roman" w:hAnsi="Times New Roman" w:eastAsia="仿宋_GB2312" w:cs="Times New Roman"/>
          <w:i w:val="0"/>
          <w:caps w:val="0"/>
          <w:color w:val="262626"/>
          <w:spacing w:val="0"/>
          <w:sz w:val="32"/>
          <w:szCs w:val="32"/>
          <w:lang w:eastAsia="zh-CN"/>
        </w:rPr>
        <w:t>）和“对外劳务合作期末在外人员构成”（原</w:t>
      </w:r>
      <w:r>
        <w:rPr>
          <w:rFonts w:hint="default" w:ascii="Times New Roman" w:hAnsi="Times New Roman" w:eastAsia="仿宋_GB2312" w:cs="Times New Roman"/>
          <w:i w:val="0"/>
          <w:caps w:val="0"/>
          <w:color w:val="262626"/>
          <w:spacing w:val="0"/>
          <w:sz w:val="32"/>
          <w:szCs w:val="32"/>
          <w:lang w:val="en-US" w:eastAsia="zh-CN"/>
        </w:rPr>
        <w:t>LW2表</w:t>
      </w:r>
      <w:r>
        <w:rPr>
          <w:rFonts w:hint="default" w:ascii="Times New Roman" w:hAnsi="Times New Roman" w:eastAsia="仿宋_GB2312" w:cs="Times New Roman"/>
          <w:i w:val="0"/>
          <w:caps w:val="0"/>
          <w:color w:val="262626"/>
          <w:spacing w:val="0"/>
          <w:sz w:val="32"/>
          <w:szCs w:val="32"/>
          <w:lang w:eastAsia="zh-CN"/>
        </w:rPr>
        <w:t>）进行整合，调整为“对外劳务合作项目人员构成和变化情况”（</w:t>
      </w:r>
      <w:r>
        <w:rPr>
          <w:rFonts w:hint="default" w:ascii="Times New Roman" w:hAnsi="Times New Roman" w:eastAsia="仿宋_GB2312" w:cs="Times New Roman"/>
          <w:i w:val="0"/>
          <w:caps w:val="0"/>
          <w:color w:val="262626"/>
          <w:spacing w:val="0"/>
          <w:sz w:val="32"/>
          <w:szCs w:val="32"/>
          <w:lang w:val="en-US" w:eastAsia="zh-CN"/>
        </w:rPr>
        <w:t>LW2表</w:t>
      </w:r>
      <w:r>
        <w:rPr>
          <w:rFonts w:hint="default" w:ascii="Times New Roman" w:hAnsi="Times New Roman" w:eastAsia="仿宋_GB2312" w:cs="Times New Roman"/>
          <w:i w:val="0"/>
          <w:caps w:val="0"/>
          <w:color w:val="262626"/>
          <w:spacing w:val="0"/>
          <w:sz w:val="32"/>
          <w:szCs w:val="32"/>
          <w:lang w:eastAsia="zh-CN"/>
        </w:rPr>
        <w:t>），综合反映对外劳务合作派出和月末在外人员行业构成和变化情况。</w:t>
      </w:r>
    </w:p>
    <w:p w14:paraId="1EFA7C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仿宋_GB2312" w:cs="Times New Roman"/>
          <w:i w:val="0"/>
          <w:caps w:val="0"/>
          <w:color w:val="262626"/>
          <w:spacing w:val="0"/>
          <w:sz w:val="32"/>
          <w:szCs w:val="32"/>
          <w:lang w:eastAsia="zh-CN"/>
        </w:rPr>
      </w:pPr>
      <w:r>
        <w:rPr>
          <w:rFonts w:hint="default" w:ascii="Times New Roman" w:hAnsi="Times New Roman" w:eastAsia="仿宋_GB2312" w:cs="Times New Roman"/>
          <w:i w:val="0"/>
          <w:caps w:val="0"/>
          <w:color w:val="262626"/>
          <w:spacing w:val="0"/>
          <w:sz w:val="32"/>
          <w:szCs w:val="32"/>
          <w:lang w:eastAsia="zh-CN"/>
        </w:rPr>
        <w:t>（三）将原“对外劳务合作项目明细”（原</w:t>
      </w:r>
      <w:r>
        <w:rPr>
          <w:rFonts w:hint="default" w:ascii="Times New Roman" w:hAnsi="Times New Roman" w:eastAsia="仿宋_GB2312" w:cs="Times New Roman"/>
          <w:i w:val="0"/>
          <w:caps w:val="0"/>
          <w:color w:val="262626"/>
          <w:spacing w:val="0"/>
          <w:sz w:val="32"/>
          <w:szCs w:val="32"/>
          <w:lang w:val="en-US" w:eastAsia="zh-CN"/>
        </w:rPr>
        <w:t>LW3表</w:t>
      </w:r>
      <w:r>
        <w:rPr>
          <w:rFonts w:hint="default" w:ascii="Times New Roman" w:hAnsi="Times New Roman" w:eastAsia="仿宋_GB2312" w:cs="Times New Roman"/>
          <w:i w:val="0"/>
          <w:caps w:val="0"/>
          <w:color w:val="262626"/>
          <w:spacing w:val="0"/>
          <w:sz w:val="32"/>
          <w:szCs w:val="32"/>
          <w:lang w:eastAsia="zh-CN"/>
        </w:rPr>
        <w:t>）表号调整为</w:t>
      </w:r>
      <w:r>
        <w:rPr>
          <w:rFonts w:hint="default" w:ascii="Times New Roman" w:hAnsi="Times New Roman" w:eastAsia="仿宋_GB2312" w:cs="Times New Roman"/>
          <w:i w:val="0"/>
          <w:caps w:val="0"/>
          <w:color w:val="262626"/>
          <w:spacing w:val="0"/>
          <w:sz w:val="32"/>
          <w:szCs w:val="32"/>
          <w:lang w:val="en-US" w:eastAsia="zh-CN"/>
        </w:rPr>
        <w:t>LW1表</w:t>
      </w:r>
      <w:r>
        <w:rPr>
          <w:rFonts w:hint="default" w:ascii="Times New Roman" w:hAnsi="Times New Roman" w:eastAsia="仿宋_GB2312" w:cs="Times New Roman"/>
          <w:i w:val="0"/>
          <w:caps w:val="0"/>
          <w:color w:val="262626"/>
          <w:spacing w:val="0"/>
          <w:sz w:val="32"/>
          <w:szCs w:val="32"/>
          <w:lang w:eastAsia="zh-CN"/>
        </w:rPr>
        <w:t>。</w:t>
      </w:r>
    </w:p>
    <w:p w14:paraId="5C36FE4A">
      <w:pPr>
        <w:jc w:val="both"/>
        <w:rPr>
          <w:rFonts w:hint="default" w:ascii="Times New Roman" w:hAnsi="Times New Roman" w:eastAsia="仿宋_GB2312" w:cs="Times New Roman"/>
        </w:rPr>
      </w:pPr>
    </w:p>
    <w:p w14:paraId="4D76A73C">
      <w:pPr>
        <w:rPr>
          <w:rFonts w:hint="default"/>
          <w:lang w:val="en-US" w:eastAsia="zh-CN"/>
        </w:rPr>
      </w:pPr>
    </w:p>
    <w:sectPr>
      <w:pgSz w:w="11906" w:h="16838"/>
      <w:pgMar w:top="1440" w:right="1286" w:bottom="1440" w:left="14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Noto Sans CJK SC">
    <w:altName w:val="宋体"/>
    <w:panose1 w:val="020B0500000000000000"/>
    <w:charset w:val="86"/>
    <w:family w:val="auto"/>
    <w:pitch w:val="default"/>
    <w:sig w:usb0="30000003" w:usb1="2BDF3C10" w:usb2="00000016" w:usb3="00000000" w:csb0="602E0107"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78D41">
    <w:pPr>
      <w:pStyle w:val="6"/>
      <w:jc w:val="center"/>
    </w:pPr>
  </w:p>
  <w:p w14:paraId="4916158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D054">
    <w:pPr>
      <w:pStyle w:val="6"/>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EEA86AD">
                          <w:pPr>
                            <w:rPr>
                              <w:rFonts w:ascii="Times New Roman" w:hAnsi="Times New Roman"/>
                              <w:sz w:val="32"/>
                              <w:szCs w:val="40"/>
                            </w:rPr>
                          </w:pPr>
                          <w:r>
                            <w:rPr>
                              <w:rFonts w:ascii="Times New Roman" w:hAnsi="Times New Roman"/>
                              <w:sz w:val="32"/>
                              <w:szCs w:val="40"/>
                            </w:rPr>
                            <w:t xml:space="preserve">— </w:t>
                          </w:r>
                          <w:r>
                            <w:rPr>
                              <w:rFonts w:ascii="Times New Roman" w:hAnsi="Times New Roman"/>
                              <w:sz w:val="32"/>
                              <w:szCs w:val="40"/>
                            </w:rPr>
                            <w:fldChar w:fldCharType="begin"/>
                          </w:r>
                          <w:r>
                            <w:rPr>
                              <w:rFonts w:ascii="Times New Roman" w:hAnsi="Times New Roman"/>
                              <w:sz w:val="32"/>
                              <w:szCs w:val="40"/>
                            </w:rPr>
                            <w:instrText xml:space="preserve"> PAGE  \* MERGEFORMAT </w:instrText>
                          </w:r>
                          <w:r>
                            <w:rPr>
                              <w:rFonts w:ascii="Times New Roman" w:hAnsi="Times New Roman"/>
                              <w:sz w:val="32"/>
                              <w:szCs w:val="40"/>
                            </w:rPr>
                            <w:fldChar w:fldCharType="separate"/>
                          </w:r>
                          <w:r>
                            <w:rPr>
                              <w:rFonts w:ascii="Times New Roman" w:hAnsi="Times New Roman"/>
                              <w:sz w:val="32"/>
                              <w:szCs w:val="40"/>
                            </w:rPr>
                            <w:t>１</w:t>
                          </w:r>
                          <w:r>
                            <w:rPr>
                              <w:rFonts w:ascii="Times New Roman" w:hAnsi="Times New Roman"/>
                              <w:sz w:val="32"/>
                              <w:szCs w:val="40"/>
                            </w:rPr>
                            <w:fldChar w:fldCharType="end"/>
                          </w:r>
                          <w:r>
                            <w:rPr>
                              <w:rFonts w:ascii="Times New Roman" w:hAnsi="Times New Roman"/>
                              <w:sz w:val="32"/>
                              <w:szCs w:val="40"/>
                            </w:rPr>
                            <w:t xml:space="preserve"> —</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75pt;height:144pt;width:144pt;mso-position-horizontal:outside;mso-position-horizontal-relative:margin;mso-wrap-style:none;z-index:251660288;mso-width-relative:page;mso-height-relative:page;" filled="f" stroked="f" coordsize="21600,21600" o:gfxdata="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ayECjVAAAA&#10;BwEAAA8AAAAAAAAAAQAgAAAAIgAAAGRycy9kb3ducmV2LnhtbFBLAQIUABQAAAAIAIdO4kBx9JDw&#10;5wEAAMcDAAAOAAAAAAAAAAEAIAAAACQBAABkcnMvZTJvRG9jLnhtbFBLBQYAAAAABgAGAFkBAAB9&#10;BQAAAAA=&#10;">
              <v:fill on="f" focussize="0,0"/>
              <v:stroke on="f" weight="0.5pt"/>
              <v:imagedata o:title=""/>
              <o:lock v:ext="edit" aspectratio="f"/>
              <v:textbox inset="0mm,0mm,0mm,0mm" style="mso-fit-shape-to-text:t;">
                <w:txbxContent>
                  <w:p w14:paraId="4EEA86AD">
                    <w:pPr>
                      <w:rPr>
                        <w:rFonts w:ascii="Times New Roman" w:hAnsi="Times New Roman"/>
                        <w:sz w:val="32"/>
                        <w:szCs w:val="40"/>
                      </w:rPr>
                    </w:pPr>
                    <w:r>
                      <w:rPr>
                        <w:rFonts w:ascii="Times New Roman" w:hAnsi="Times New Roman"/>
                        <w:sz w:val="32"/>
                        <w:szCs w:val="40"/>
                      </w:rPr>
                      <w:t xml:space="preserve">— </w:t>
                    </w:r>
                    <w:r>
                      <w:rPr>
                        <w:rFonts w:ascii="Times New Roman" w:hAnsi="Times New Roman"/>
                        <w:sz w:val="32"/>
                        <w:szCs w:val="40"/>
                      </w:rPr>
                      <w:fldChar w:fldCharType="begin"/>
                    </w:r>
                    <w:r>
                      <w:rPr>
                        <w:rFonts w:ascii="Times New Roman" w:hAnsi="Times New Roman"/>
                        <w:sz w:val="32"/>
                        <w:szCs w:val="40"/>
                      </w:rPr>
                      <w:instrText xml:space="preserve"> PAGE  \* MERGEFORMAT </w:instrText>
                    </w:r>
                    <w:r>
                      <w:rPr>
                        <w:rFonts w:ascii="Times New Roman" w:hAnsi="Times New Roman"/>
                        <w:sz w:val="32"/>
                        <w:szCs w:val="40"/>
                      </w:rPr>
                      <w:fldChar w:fldCharType="separate"/>
                    </w:r>
                    <w:r>
                      <w:rPr>
                        <w:rFonts w:ascii="Times New Roman" w:hAnsi="Times New Roman"/>
                        <w:sz w:val="32"/>
                        <w:szCs w:val="40"/>
                      </w:rPr>
                      <w:t>１</w:t>
                    </w:r>
                    <w:r>
                      <w:rPr>
                        <w:rFonts w:ascii="Times New Roman" w:hAnsi="Times New Roman"/>
                        <w:sz w:val="32"/>
                        <w:szCs w:val="40"/>
                      </w:rPr>
                      <w:fldChar w:fldCharType="end"/>
                    </w:r>
                    <w:r>
                      <w:rPr>
                        <w:rFonts w:ascii="Times New Roman" w:hAnsi="Times New Roman"/>
                        <w:sz w:val="32"/>
                        <w:szCs w:val="40"/>
                      </w:rPr>
                      <w:t xml:space="preserve"> —</w:t>
                    </w:r>
                  </w:p>
                </w:txbxContent>
              </v:textbox>
            </v:shape>
          </w:pict>
        </mc:Fallback>
      </mc:AlternateContent>
    </w:r>
  </w:p>
  <w:p w14:paraId="1A027A4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8C73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ED50FE">
                          <w:pPr>
                            <w:pStyle w:val="6"/>
                            <w:rPr>
                              <w:rFonts w:hint="default" w:ascii="Times New Roman" w:hAnsi="Times New Roman" w:cs="Times New Roman"/>
                              <w:sz w:val="32"/>
                              <w:szCs w:val="48"/>
                            </w:rPr>
                          </w:pPr>
                          <w:r>
                            <w:rPr>
                              <w:rFonts w:hint="default" w:ascii="Times New Roman" w:hAnsi="Times New Roman" w:cs="Times New Roman"/>
                              <w:sz w:val="32"/>
                              <w:szCs w:val="48"/>
                            </w:rPr>
                            <w:t xml:space="preserve">— </w:t>
                          </w: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0</w:t>
                          </w:r>
                          <w:r>
                            <w:rPr>
                              <w:rFonts w:hint="default" w:ascii="Times New Roman" w:hAnsi="Times New Roman" w:cs="Times New Roman"/>
                              <w:sz w:val="32"/>
                              <w:szCs w:val="48"/>
                            </w:rPr>
                            <w:fldChar w:fldCharType="end"/>
                          </w:r>
                          <w:r>
                            <w:rPr>
                              <w:rFonts w:hint="default" w:ascii="Times New Roman" w:hAnsi="Times New Roman" w:cs="Times New Roman"/>
                              <w:sz w:val="32"/>
                              <w:szCs w:val="4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kAIsS0wAAAAcBAAAPAAAAAAAA&#10;AAEAIAAAACIAAABkcnMvZG93bnJldi54bWxQSwECFAAUAAAACACHTuJAFj5Mq94BAAC+AwAADgAA&#10;AAAAAAABACAAAAAiAQAAZHJzL2Uyb0RvYy54bWxQSwUGAAAAAAYABgBZAQAAcgUAAAAA&#10;">
              <v:fill on="f" focussize="0,0"/>
              <v:stroke on="f"/>
              <v:imagedata o:title=""/>
              <o:lock v:ext="edit" aspectratio="f"/>
              <v:textbox inset="0mm,0mm,0mm,0mm" style="mso-fit-shape-to-text:t;">
                <w:txbxContent>
                  <w:p w14:paraId="15ED50FE">
                    <w:pPr>
                      <w:pStyle w:val="6"/>
                      <w:rPr>
                        <w:rFonts w:hint="default" w:ascii="Times New Roman" w:hAnsi="Times New Roman" w:cs="Times New Roman"/>
                        <w:sz w:val="32"/>
                        <w:szCs w:val="48"/>
                      </w:rPr>
                    </w:pPr>
                    <w:r>
                      <w:rPr>
                        <w:rFonts w:hint="default" w:ascii="Times New Roman" w:hAnsi="Times New Roman" w:cs="Times New Roman"/>
                        <w:sz w:val="32"/>
                        <w:szCs w:val="48"/>
                      </w:rPr>
                      <w:t xml:space="preserve">— </w:t>
                    </w: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0</w:t>
                    </w:r>
                    <w:r>
                      <w:rPr>
                        <w:rFonts w:hint="default" w:ascii="Times New Roman" w:hAnsi="Times New Roman" w:cs="Times New Roman"/>
                        <w:sz w:val="32"/>
                        <w:szCs w:val="48"/>
                      </w:rPr>
                      <w:fldChar w:fldCharType="end"/>
                    </w:r>
                    <w:r>
                      <w:rPr>
                        <w:rFonts w:hint="default" w:ascii="Times New Roman" w:hAnsi="Times New Roman" w:cs="Times New Roman"/>
                        <w:sz w:val="32"/>
                        <w:szCs w:val="4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E6A01"/>
    <w:multiLevelType w:val="singleLevel"/>
    <w:tmpl w:val="E57E6A01"/>
    <w:lvl w:ilvl="0" w:tentative="0">
      <w:start w:val="1"/>
      <w:numFmt w:val="chineseCounting"/>
      <w:suff w:val="nothing"/>
      <w:lvlText w:val="%1、"/>
      <w:lvlJc w:val="left"/>
      <w:rPr>
        <w:rFonts w:hint="eastAsia"/>
      </w:rPr>
    </w:lvl>
  </w:abstractNum>
  <w:abstractNum w:abstractNumId="1">
    <w:nsid w:val="FDBF0943"/>
    <w:multiLevelType w:val="singleLevel"/>
    <w:tmpl w:val="FDBF0943"/>
    <w:lvl w:ilvl="0" w:tentative="0">
      <w:start w:val="6"/>
      <w:numFmt w:val="chineseCounting"/>
      <w:suff w:val="nothing"/>
      <w:lvlText w:val="（%1）"/>
      <w:lvlJc w:val="left"/>
      <w:rPr>
        <w:rFonts w:hint="eastAsia"/>
      </w:rPr>
    </w:lvl>
  </w:abstractNum>
  <w:abstractNum w:abstractNumId="2">
    <w:nsid w:val="6F6EDCEC"/>
    <w:multiLevelType w:val="singleLevel"/>
    <w:tmpl w:val="6F6EDCEC"/>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7EF82"/>
    <w:rsid w:val="293163A8"/>
    <w:rsid w:val="3F3F757B"/>
    <w:rsid w:val="6F991B9B"/>
    <w:rsid w:val="73E3DE6C"/>
    <w:rsid w:val="BFCE64BD"/>
    <w:rsid w:val="C7B1D77C"/>
    <w:rsid w:val="DBF28AD6"/>
    <w:rsid w:val="DCBF7E9E"/>
    <w:rsid w:val="EFFBD1A1"/>
    <w:rsid w:val="F3F0A2D8"/>
    <w:rsid w:val="F3FFE96A"/>
    <w:rsid w:val="FB9F1A63"/>
    <w:rsid w:val="FF3FED95"/>
    <w:rsid w:val="FFBD4B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2">
    <w:name w:val="Normal Indent"/>
    <w:basedOn w:val="1"/>
    <w:qFormat/>
    <w:uiPriority w:val="0"/>
    <w:pPr>
      <w:tabs>
        <w:tab w:val="decimal" w:pos="756"/>
      </w:tabs>
      <w:ind w:firstLine="420"/>
    </w:pPr>
    <w:rPr>
      <w:rFonts w:hAnsi="宋体"/>
      <w:szCs w:val="20"/>
    </w:rPr>
  </w:style>
  <w:style w:type="paragraph" w:styleId="3">
    <w:name w:val="Body Text"/>
    <w:basedOn w:val="1"/>
    <w:next w:val="4"/>
    <w:unhideWhenUsed/>
    <w:qFormat/>
    <w:uiPriority w:val="99"/>
    <w:pPr>
      <w:spacing w:beforeLines="0" w:afterLines="0" w:line="360" w:lineRule="auto"/>
      <w:ind w:firstLine="640" w:firstLineChars="200"/>
    </w:pPr>
    <w:rPr>
      <w:rFonts w:eastAsia="仿宋_GB2312"/>
      <w:sz w:val="32"/>
    </w:rPr>
  </w:style>
  <w:style w:type="paragraph" w:styleId="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Body Text Indent"/>
    <w:basedOn w:val="1"/>
    <w:qFormat/>
    <w:uiPriority w:val="0"/>
    <w:pPr>
      <w:spacing w:after="120"/>
      <w:ind w:left="420" w:leftChars="200"/>
    </w:pPr>
    <w:rPr>
      <w:szCs w:val="20"/>
      <w:lang w:val="zh-CN"/>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Emphasis"/>
    <w:basedOn w:val="12"/>
    <w:qFormat/>
    <w:uiPriority w:val="20"/>
    <w:rPr>
      <w:color w:val="CC0000"/>
      <w:sz w:val="24"/>
      <w:szCs w:val="24"/>
    </w:rPr>
  </w:style>
  <w:style w:type="paragraph" w:styleId="14">
    <w:name w:val="List Paragraph"/>
    <w:basedOn w:val="1"/>
    <w:qFormat/>
    <w:uiPriority w:val="34"/>
    <w:pPr>
      <w:ind w:firstLine="420" w:firstLineChars="200"/>
    </w:pPr>
  </w:style>
  <w:style w:type="character" w:customStyle="1" w:styleId="15">
    <w:name w:val="font31"/>
    <w:basedOn w:val="12"/>
    <w:qFormat/>
    <w:uiPriority w:val="0"/>
    <w:rPr>
      <w:rFonts w:hint="eastAsia" w:ascii="宋体" w:hAnsi="宋体" w:eastAsia="宋体" w:cs="宋体"/>
      <w:color w:val="000000"/>
      <w:sz w:val="18"/>
      <w:szCs w:val="18"/>
      <w:u w:val="none"/>
    </w:rPr>
  </w:style>
  <w:style w:type="character" w:customStyle="1" w:styleId="16">
    <w:name w:val="15"/>
    <w:basedOn w:val="12"/>
    <w:qFormat/>
    <w:uiPriority w:val="0"/>
    <w:rPr>
      <w:rFonts w:hint="eastAsia"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858</Words>
  <Characters>880</Characters>
  <Lines>0</Lines>
  <Paragraphs>0</Paragraphs>
  <TotalTime>5.33333333333333</TotalTime>
  <ScaleCrop>false</ScaleCrop>
  <LinksUpToDate>false</LinksUpToDate>
  <CharactersWithSpaces>893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2025-01-14T10:08:27Z</dcterms:created>
  <dc:creator>user</dc:creator>
  <cp:lastModifiedBy>陈玲玲</cp:lastModifiedBy>
  <cp:lastPrinted>2025-01-21T15:01:56Z</cp:lastPrinted>
  <dcterms:modified xsi:type="dcterms:W3CDTF">2026-06-25T13:07:48Z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46E2F60542CB48BA8AECA13A0B33E87C_13</vt:lpwstr>
  </property>
</Properties>
</file>