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BF8E59">
      <w:pPr>
        <w:keepNext w:val="0"/>
        <w:keepLines w:val="0"/>
        <w:pageBreakBefore w:val="0"/>
        <w:widowControl/>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黑体" w:cs="Times New Roman"/>
          <w:sz w:val="32"/>
          <w:szCs w:val="32"/>
          <w:lang w:val="en-US" w:eastAsia="zh-CN"/>
        </w:rPr>
      </w:pPr>
      <w:bookmarkStart w:id="0" w:name="_GoBack"/>
      <w:bookmarkEnd w:id="0"/>
      <w:r>
        <w:rPr>
          <w:rFonts w:hint="default" w:ascii="Times New Roman" w:hAnsi="Times New Roman" w:eastAsia="黑体" w:cs="Times New Roman"/>
          <w:sz w:val="32"/>
          <w:szCs w:val="32"/>
          <w:lang w:eastAsia="zh-CN"/>
        </w:rPr>
        <w:t>附</w:t>
      </w:r>
      <w:r>
        <w:rPr>
          <w:rFonts w:hint="eastAsia" w:ascii="Times New Roman" w:hAnsi="Times New Roman" w:eastAsia="黑体" w:cs="Times New Roman"/>
          <w:sz w:val="32"/>
          <w:szCs w:val="32"/>
          <w:lang w:eastAsia="zh-CN"/>
        </w:rPr>
        <w:t>件</w:t>
      </w:r>
      <w:r>
        <w:rPr>
          <w:rFonts w:hint="default" w:ascii="Times New Roman" w:hAnsi="Times New Roman" w:eastAsia="黑体" w:cs="Times New Roman"/>
          <w:sz w:val="32"/>
          <w:szCs w:val="32"/>
          <w:lang w:val="en-US" w:eastAsia="zh-CN"/>
        </w:rPr>
        <w:t>2</w:t>
      </w:r>
    </w:p>
    <w:p w14:paraId="69BA0AB8">
      <w:pPr>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华文中宋" w:cs="Times New Roman"/>
          <w:b/>
          <w:color w:val="auto"/>
          <w:sz w:val="32"/>
          <w:szCs w:val="32"/>
          <w:highlight w:val="none"/>
          <w:lang w:eastAsia="zh-CN"/>
        </w:rPr>
      </w:pPr>
    </w:p>
    <w:p w14:paraId="29821584">
      <w:pPr>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sz w:val="32"/>
          <w:szCs w:val="32"/>
          <w:lang w:eastAsia="zh-CN"/>
        </w:rPr>
      </w:pPr>
      <w:r>
        <w:rPr>
          <w:rFonts w:hint="default" w:ascii="Times New Roman" w:hAnsi="Times New Roman" w:eastAsia="华文中宋" w:cs="Times New Roman"/>
          <w:b/>
          <w:color w:val="auto"/>
          <w:sz w:val="36"/>
          <w:szCs w:val="36"/>
          <w:highlight w:val="none"/>
          <w:lang w:eastAsia="zh-CN"/>
        </w:rPr>
        <w:t>保税维修项目申报工作指引（试行）</w:t>
      </w:r>
    </w:p>
    <w:p w14:paraId="46355CBB">
      <w:pPr>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val="0"/>
          <w:sz w:val="32"/>
          <w:szCs w:val="32"/>
          <w:lang w:eastAsia="zh-CN"/>
        </w:rPr>
      </w:pPr>
    </w:p>
    <w:p w14:paraId="2DF03F79">
      <w:pPr>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 w:val="32"/>
          <w:szCs w:val="32"/>
          <w:highlight w:val="none"/>
          <w:lang w:eastAsia="zh-CN"/>
        </w:rPr>
      </w:pPr>
      <w:r>
        <w:rPr>
          <w:rFonts w:hint="eastAsia" w:ascii="Times New Roman" w:hAnsi="Times New Roman" w:eastAsia="黑体" w:cs="Times New Roman"/>
          <w:color w:val="auto"/>
          <w:sz w:val="32"/>
          <w:szCs w:val="32"/>
          <w:highlight w:val="none"/>
          <w:lang w:val="en-US" w:eastAsia="zh-CN"/>
        </w:rPr>
        <w:t xml:space="preserve">    </w:t>
      </w:r>
      <w:r>
        <w:rPr>
          <w:rFonts w:hint="eastAsia"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lang w:eastAsia="zh-CN"/>
        </w:rPr>
        <w:t>政策依据</w:t>
      </w:r>
    </w:p>
    <w:p w14:paraId="2A798346">
      <w:pPr>
        <w:pageBreakBefore w:val="0"/>
        <w:widowControl w:val="0"/>
        <w:kinsoku/>
        <w:wordWrap/>
        <w:overflowPunct/>
        <w:topLinePunct w:val="0"/>
        <w:autoSpaceDE/>
        <w:autoSpaceDN/>
        <w:bidi w:val="0"/>
        <w:adjustRightInd/>
        <w:snapToGrid/>
        <w:spacing w:line="240" w:lineRule="auto"/>
        <w:ind w:firstLine="0"/>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根据</w:t>
      </w:r>
      <w:r>
        <w:rPr>
          <w:rFonts w:hint="eastAsia" w:ascii="Times New Roman" w:hAnsi="Times New Roman" w:eastAsia="仿宋_GB2312" w:cs="Times New Roman"/>
          <w:color w:val="auto"/>
          <w:sz w:val="32"/>
          <w:szCs w:val="32"/>
          <w:lang w:eastAsia="zh-CN"/>
        </w:rPr>
        <w:t>《中华人民共和国环境保护法》《中华人民共和国固体废物污染环境防治法》</w:t>
      </w:r>
      <w:r>
        <w:rPr>
          <w:rFonts w:hint="default" w:ascii="Times New Roman" w:hAnsi="Times New Roman" w:eastAsia="仿宋_GB2312" w:cs="Times New Roman"/>
          <w:color w:val="auto"/>
          <w:sz w:val="32"/>
          <w:szCs w:val="32"/>
          <w:highlight w:val="none"/>
        </w:rPr>
        <w:t>《国务院关于促进综合保税区高水平开放高质量发展的若干意见》（国发〔2019〕3号）</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《国务院印发关于推进自由贸易试验区贸易投资便利化改革创新若干措施的通知》（国发〔2021〕12号）</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《国务院办公厅关于加快发展外贸新业态新模式的意见》（国办发〔2021〕24号）</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《国务院办公厅关于推动外贸保稳提质的意见》（国办发〔2022〕18号）</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《商务部等</w:t>
      </w:r>
      <w:r>
        <w:rPr>
          <w:rFonts w:hint="eastAsia"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部门关于提升加工贸易发展水平的意见》（商贸发〔2023〕308号）</w:t>
      </w:r>
      <w:r>
        <w:rPr>
          <w:rFonts w:hint="eastAsia" w:ascii="Times New Roman" w:hAnsi="Times New Roman" w:eastAsia="仿宋_GB2312" w:cs="Times New Roman"/>
          <w:color w:val="auto"/>
          <w:sz w:val="32"/>
          <w:szCs w:val="32"/>
          <w:lang w:eastAsia="zh-CN"/>
        </w:rPr>
        <w:t>，商务部、生态环境部、海关总署公告</w:t>
      </w:r>
      <w:r>
        <w:rPr>
          <w:rFonts w:hint="eastAsia" w:ascii="Times New Roman" w:hAnsi="Times New Roman" w:eastAsia="仿宋_GB2312" w:cs="Times New Roman"/>
          <w:color w:val="auto"/>
          <w:sz w:val="32"/>
          <w:szCs w:val="32"/>
          <w:lang w:val="en-US" w:eastAsia="zh-CN"/>
        </w:rPr>
        <w:t>2020年第16号</w:t>
      </w:r>
      <w:r>
        <w:rPr>
          <w:rFonts w:hint="eastAsia" w:ascii="Times New Roman" w:hAnsi="Times New Roman" w:eastAsia="仿宋_GB2312" w:cs="Times New Roman"/>
          <w:color w:val="auto"/>
          <w:sz w:val="32"/>
          <w:szCs w:val="32"/>
          <w:lang w:eastAsia="zh-CN"/>
        </w:rPr>
        <w:t>（《关于支持综合保税区内企业开展维修业务的公告》）</w:t>
      </w:r>
      <w:r>
        <w:rPr>
          <w:rFonts w:hint="default" w:ascii="Times New Roman" w:hAnsi="Times New Roman" w:eastAsia="仿宋_GB2312" w:cs="Times New Roman"/>
          <w:color w:val="auto"/>
          <w:sz w:val="32"/>
          <w:szCs w:val="32"/>
          <w:highlight w:val="none"/>
        </w:rPr>
        <w:t>等文件要求，为规范保税维修项目申报工作，</w:t>
      </w:r>
      <w:r>
        <w:rPr>
          <w:rFonts w:hint="default" w:ascii="Times New Roman" w:hAnsi="Times New Roman" w:eastAsia="仿宋_GB2312" w:cs="Times New Roman"/>
          <w:color w:val="auto"/>
          <w:sz w:val="32"/>
          <w:szCs w:val="32"/>
          <w:highlight w:val="none"/>
          <w:lang w:eastAsia="zh-CN"/>
        </w:rPr>
        <w:t>制定本工作指引</w:t>
      </w:r>
      <w:r>
        <w:rPr>
          <w:rFonts w:ascii="Times New Roman" w:hAnsi="Times New Roman" w:eastAsia="仿宋_GB2312" w:cs="Times New Roman"/>
          <w:color w:val="auto"/>
          <w:sz w:val="32"/>
          <w:szCs w:val="32"/>
          <w:highlight w:val="none"/>
        </w:rPr>
        <w:t>。</w:t>
      </w:r>
    </w:p>
    <w:p w14:paraId="0029F617">
      <w:pPr>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 xml:space="preserve">    </w:t>
      </w:r>
      <w:r>
        <w:rPr>
          <w:rFonts w:hint="eastAsia" w:ascii="Times New Roman" w:hAnsi="Times New Roman" w:eastAsia="黑体" w:cs="Times New Roman"/>
          <w:color w:val="auto"/>
          <w:sz w:val="32"/>
          <w:szCs w:val="32"/>
          <w:highlight w:val="none"/>
          <w:lang w:eastAsia="zh-CN"/>
        </w:rPr>
        <w:t>二、</w:t>
      </w:r>
      <w:r>
        <w:rPr>
          <w:rFonts w:hint="default" w:ascii="Times New Roman" w:hAnsi="Times New Roman" w:eastAsia="黑体" w:cs="Times New Roman"/>
          <w:color w:val="auto"/>
          <w:sz w:val="32"/>
          <w:szCs w:val="32"/>
          <w:highlight w:val="none"/>
          <w:lang w:eastAsia="zh-CN"/>
        </w:rPr>
        <w:t>项目分类</w:t>
      </w:r>
      <w:r>
        <w:rPr>
          <w:rFonts w:hint="default" w:ascii="Times New Roman" w:hAnsi="Times New Roman" w:eastAsia="黑体" w:cs="Times New Roman"/>
          <w:color w:val="auto"/>
          <w:sz w:val="32"/>
          <w:szCs w:val="32"/>
          <w:highlight w:val="none"/>
          <w:lang w:val="en-US" w:eastAsia="zh-CN"/>
        </w:rPr>
        <w:t xml:space="preserve"> </w:t>
      </w:r>
    </w:p>
    <w:p w14:paraId="70F053AF">
      <w:pPr>
        <w:pageBreakBefore w:val="0"/>
        <w:widowControl w:val="0"/>
        <w:numPr>
          <w:ilvl w:val="0"/>
          <w:numId w:val="0"/>
        </w:numPr>
        <w:kinsoku/>
        <w:wordWrap/>
        <w:overflowPunct/>
        <w:topLinePunct w:val="0"/>
        <w:autoSpaceDE/>
        <w:autoSpaceDN/>
        <w:bidi w:val="0"/>
        <w:adjustRightInd/>
        <w:snapToGrid/>
        <w:spacing w:line="240" w:lineRule="auto"/>
        <w:ind w:firstLine="0"/>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Times New Roman"/>
          <w:strike w:val="0"/>
          <w:color w:val="auto"/>
          <w:sz w:val="32"/>
          <w:szCs w:val="32"/>
          <w:lang w:val="en-US" w:eastAsia="zh-CN"/>
        </w:rPr>
        <w:t xml:space="preserve">    根据</w:t>
      </w:r>
      <w:r>
        <w:rPr>
          <w:rFonts w:hint="default" w:ascii="Times New Roman" w:hAnsi="Times New Roman" w:eastAsia="仿宋_GB2312" w:cs="Times New Roman"/>
          <w:color w:val="auto"/>
          <w:sz w:val="32"/>
          <w:szCs w:val="32"/>
          <w:highlight w:val="none"/>
        </w:rPr>
        <w:t>国发〔2021〕12号</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lang w:eastAsia="zh-CN"/>
        </w:rPr>
        <w:t>商贸发〔2023〕308号，商务部、生态环境部、海关总署公告</w:t>
      </w:r>
      <w:r>
        <w:rPr>
          <w:rFonts w:hint="eastAsia" w:ascii="Times New Roman" w:hAnsi="Times New Roman" w:eastAsia="仿宋_GB2312" w:cs="Times New Roman"/>
          <w:color w:val="auto"/>
          <w:sz w:val="32"/>
          <w:szCs w:val="32"/>
          <w:lang w:val="en-US" w:eastAsia="zh-CN"/>
        </w:rPr>
        <w:t>2020年第16号等</w:t>
      </w:r>
      <w:r>
        <w:rPr>
          <w:rFonts w:hint="eastAsia" w:ascii="Times New Roman" w:hAnsi="Times New Roman" w:eastAsia="仿宋_GB2312" w:cs="Times New Roman"/>
          <w:color w:val="auto"/>
          <w:sz w:val="32"/>
          <w:szCs w:val="32"/>
          <w:lang w:eastAsia="zh-CN"/>
        </w:rPr>
        <w:t>文件要求</w:t>
      </w:r>
      <w:r>
        <w:rPr>
          <w:rFonts w:hint="default" w:ascii="Times New Roman" w:hAnsi="Times New Roman" w:eastAsia="仿宋_GB2312" w:cs="Times New Roman"/>
          <w:color w:val="auto"/>
          <w:sz w:val="32"/>
          <w:szCs w:val="32"/>
          <w:highlight w:val="none"/>
          <w:lang w:val="en-US" w:eastAsia="zh-CN"/>
        </w:rPr>
        <w:t>，综合保税区（以下简称</w:t>
      </w:r>
      <w:r>
        <w:rPr>
          <w:rFonts w:hint="eastAsia" w:ascii="仿宋_GB2312" w:hAnsi="仿宋_GB2312" w:eastAsia="仿宋_GB2312" w:cs="仿宋_GB2312"/>
          <w:color w:val="auto"/>
          <w:sz w:val="32"/>
          <w:szCs w:val="32"/>
          <w:highlight w:val="none"/>
          <w:lang w:val="en-US" w:eastAsia="zh-CN"/>
        </w:rPr>
        <w:t>综保区</w:t>
      </w:r>
      <w:r>
        <w:rPr>
          <w:rFonts w:hint="default" w:ascii="Times New Roman" w:hAnsi="Times New Roman" w:eastAsia="仿宋_GB2312" w:cs="Times New Roman"/>
          <w:color w:val="auto"/>
          <w:sz w:val="32"/>
          <w:szCs w:val="32"/>
          <w:highlight w:val="none"/>
          <w:lang w:val="en-US" w:eastAsia="zh-CN"/>
        </w:rPr>
        <w:t>）内企业开展</w:t>
      </w:r>
      <w:r>
        <w:rPr>
          <w:rFonts w:hint="eastAsia" w:ascii="Times New Roman" w:hAnsi="Times New Roman" w:eastAsia="仿宋_GB2312" w:cs="Times New Roman"/>
          <w:color w:val="auto"/>
          <w:sz w:val="32"/>
          <w:szCs w:val="32"/>
          <w:highlight w:val="none"/>
          <w:lang w:val="en-US" w:eastAsia="zh-CN"/>
        </w:rPr>
        <w:t>综保区维修</w:t>
      </w:r>
      <w:r>
        <w:rPr>
          <w:rFonts w:hint="default" w:ascii="Times New Roman" w:hAnsi="Times New Roman" w:eastAsia="仿宋_GB2312" w:cs="Times New Roman"/>
          <w:color w:val="auto"/>
          <w:sz w:val="32"/>
          <w:szCs w:val="32"/>
          <w:highlight w:val="none"/>
          <w:lang w:val="en-US" w:eastAsia="zh-CN"/>
        </w:rPr>
        <w:t>目录内产品保税维修，由所在综保区管委会（或地方</w:t>
      </w:r>
      <w:r>
        <w:rPr>
          <w:rFonts w:hint="eastAsia" w:ascii="Times New Roman" w:hAnsi="Times New Roman" w:eastAsia="仿宋_GB2312" w:cs="Times New Roman"/>
          <w:color w:val="auto"/>
          <w:sz w:val="32"/>
          <w:szCs w:val="32"/>
          <w:highlight w:val="none"/>
          <w:lang w:val="en-US" w:eastAsia="zh-CN"/>
        </w:rPr>
        <w:t>人民</w:t>
      </w:r>
      <w:r>
        <w:rPr>
          <w:rFonts w:hint="default" w:ascii="Times New Roman" w:hAnsi="Times New Roman" w:eastAsia="仿宋_GB2312" w:cs="Times New Roman"/>
          <w:color w:val="auto"/>
          <w:sz w:val="32"/>
          <w:szCs w:val="32"/>
          <w:highlight w:val="none"/>
          <w:lang w:val="en-US" w:eastAsia="zh-CN"/>
        </w:rPr>
        <w:t>政府派驻行政管理机构）</w:t>
      </w:r>
      <w:r>
        <w:rPr>
          <w:rFonts w:hint="default" w:ascii="Times New Roman" w:hAnsi="Times New Roman" w:eastAsia="仿宋_GB2312" w:cs="Times New Roman"/>
          <w:color w:val="auto"/>
          <w:sz w:val="32"/>
          <w:szCs w:val="32"/>
          <w:highlight w:val="none"/>
          <w:u w:val="none"/>
          <w:lang w:val="en-US" w:eastAsia="zh-CN"/>
        </w:rPr>
        <w:t>牵头自主</w:t>
      </w:r>
      <w:r>
        <w:rPr>
          <w:rFonts w:hint="default" w:ascii="Times New Roman" w:hAnsi="Times New Roman" w:eastAsia="仿宋_GB2312" w:cs="Times New Roman"/>
          <w:color w:val="auto"/>
          <w:sz w:val="32"/>
          <w:szCs w:val="32"/>
          <w:highlight w:val="none"/>
          <w:lang w:val="en-US" w:eastAsia="zh-CN"/>
        </w:rPr>
        <w:t>支持。自贸试验区及</w:t>
      </w:r>
      <w:r>
        <w:rPr>
          <w:rFonts w:hint="default" w:ascii="Times New Roman" w:hAnsi="Times New Roman" w:eastAsia="仿宋_GB2312" w:cs="Times New Roman"/>
          <w:color w:val="auto"/>
          <w:sz w:val="32"/>
          <w:szCs w:val="32"/>
          <w:highlight w:val="none"/>
          <w:lang w:val="en" w:eastAsia="zh-CN"/>
        </w:rPr>
        <w:t>苏州市、东莞市、天津市滨海新区</w:t>
      </w:r>
      <w:r>
        <w:rPr>
          <w:rFonts w:hint="eastAsia" w:ascii="Times New Roman" w:hAnsi="Times New Roman" w:eastAsia="仿宋_GB2312" w:cs="Times New Roman"/>
          <w:color w:val="auto"/>
          <w:sz w:val="32"/>
          <w:szCs w:val="32"/>
          <w:highlight w:val="none"/>
          <w:lang w:val="en-US" w:eastAsia="zh-CN"/>
        </w:rPr>
        <w:t>内企业</w:t>
      </w:r>
      <w:r>
        <w:rPr>
          <w:rFonts w:hint="default" w:ascii="Times New Roman" w:hAnsi="Times New Roman" w:eastAsia="仿宋_GB2312" w:cs="Times New Roman"/>
          <w:color w:val="auto"/>
          <w:sz w:val="32"/>
          <w:szCs w:val="32"/>
          <w:highlight w:val="none"/>
          <w:lang w:val="en-US" w:eastAsia="zh-CN"/>
        </w:rPr>
        <w:t>开展</w:t>
      </w:r>
      <w:r>
        <w:rPr>
          <w:rFonts w:hint="eastAsia" w:ascii="Times New Roman" w:hAnsi="Times New Roman" w:eastAsia="仿宋_GB2312" w:cs="Times New Roman"/>
          <w:color w:val="auto"/>
          <w:sz w:val="32"/>
          <w:szCs w:val="32"/>
          <w:highlight w:val="none"/>
          <w:lang w:val="en-US" w:eastAsia="zh-CN"/>
        </w:rPr>
        <w:t>自贸试验区维修</w:t>
      </w:r>
      <w:r>
        <w:rPr>
          <w:rFonts w:hint="default" w:ascii="Times New Roman" w:hAnsi="Times New Roman" w:eastAsia="仿宋_GB2312" w:cs="Times New Roman"/>
          <w:color w:val="auto"/>
          <w:sz w:val="32"/>
          <w:szCs w:val="32"/>
          <w:highlight w:val="none"/>
          <w:lang w:eastAsia="zh-CN"/>
        </w:rPr>
        <w:t>产品</w:t>
      </w:r>
      <w:r>
        <w:rPr>
          <w:rFonts w:hint="default" w:ascii="Times New Roman" w:hAnsi="Times New Roman" w:eastAsia="仿宋_GB2312" w:cs="Times New Roman"/>
          <w:color w:val="auto"/>
          <w:sz w:val="32"/>
          <w:szCs w:val="32"/>
          <w:highlight w:val="none"/>
          <w:lang w:val="en-US" w:eastAsia="zh-CN"/>
        </w:rPr>
        <w:t>目录内</w:t>
      </w:r>
      <w:r>
        <w:rPr>
          <w:rFonts w:hint="default" w:ascii="Times New Roman" w:hAnsi="Times New Roman" w:eastAsia="仿宋_GB2312" w:cs="Times New Roman"/>
          <w:color w:val="auto"/>
          <w:sz w:val="32"/>
          <w:szCs w:val="32"/>
          <w:highlight w:val="none"/>
          <w:lang w:eastAsia="zh-CN"/>
        </w:rPr>
        <w:t>保税</w:t>
      </w:r>
      <w:r>
        <w:rPr>
          <w:rFonts w:hint="default" w:ascii="Times New Roman" w:hAnsi="Times New Roman" w:eastAsia="仿宋_GB2312" w:cs="Times New Roman"/>
          <w:color w:val="auto"/>
          <w:sz w:val="32"/>
          <w:szCs w:val="32"/>
          <w:highlight w:val="none"/>
          <w:lang w:val="en-US" w:eastAsia="zh-CN"/>
        </w:rPr>
        <w:t>维修，由所在地省级人民政府自主</w:t>
      </w:r>
      <w:r>
        <w:rPr>
          <w:rFonts w:hint="eastAsia" w:ascii="Times New Roman" w:hAnsi="Times New Roman" w:eastAsia="仿宋_GB2312" w:cs="Times New Roman"/>
          <w:color w:val="auto"/>
          <w:sz w:val="32"/>
          <w:szCs w:val="32"/>
          <w:highlight w:val="none"/>
          <w:lang w:val="en-US" w:eastAsia="zh-CN"/>
        </w:rPr>
        <w:t>评估</w:t>
      </w:r>
      <w:r>
        <w:rPr>
          <w:rFonts w:hint="default" w:ascii="Times New Roman" w:hAnsi="Times New Roman" w:eastAsia="仿宋_GB2312" w:cs="Times New Roman"/>
          <w:color w:val="auto"/>
          <w:sz w:val="32"/>
          <w:szCs w:val="32"/>
          <w:highlight w:val="none"/>
          <w:lang w:val="en-US" w:eastAsia="zh-CN"/>
        </w:rPr>
        <w:t>支持。综保区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自贸试验区及</w:t>
      </w:r>
      <w:r>
        <w:rPr>
          <w:rFonts w:hint="default" w:ascii="Times New Roman" w:hAnsi="Times New Roman" w:eastAsia="仿宋_GB2312" w:cs="Times New Roman"/>
          <w:color w:val="auto"/>
          <w:sz w:val="32"/>
          <w:szCs w:val="32"/>
          <w:highlight w:val="none"/>
          <w:lang w:val="en" w:eastAsia="zh-CN"/>
        </w:rPr>
        <w:t>苏州市、东莞市、天津市滨海新区</w:t>
      </w:r>
      <w:r>
        <w:rPr>
          <w:rFonts w:hint="eastAsia" w:ascii="Times New Roman" w:hAnsi="Times New Roman" w:eastAsia="仿宋_GB2312" w:cs="Times New Roman"/>
          <w:color w:val="auto"/>
          <w:sz w:val="32"/>
          <w:szCs w:val="32"/>
          <w:highlight w:val="none"/>
          <w:lang w:val="en-US" w:eastAsia="zh-CN"/>
        </w:rPr>
        <w:t>内</w:t>
      </w:r>
      <w:r>
        <w:rPr>
          <w:rFonts w:hint="default" w:ascii="Times New Roman" w:hAnsi="Times New Roman" w:eastAsia="仿宋_GB2312" w:cs="Times New Roman"/>
          <w:color w:val="auto"/>
          <w:sz w:val="32"/>
          <w:szCs w:val="32"/>
          <w:highlight w:val="none"/>
          <w:lang w:val="en-US" w:eastAsia="zh-CN"/>
        </w:rPr>
        <w:t>企业开展目录外产品保税维修</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综保区、自贸试验区</w:t>
      </w:r>
      <w:r>
        <w:rPr>
          <w:rFonts w:hint="eastAsia" w:ascii="Times New Roman" w:hAnsi="Times New Roman" w:eastAsia="仿宋_GB2312" w:cs="Times New Roman"/>
          <w:color w:val="auto"/>
          <w:sz w:val="32"/>
          <w:szCs w:val="32"/>
          <w:highlight w:val="none"/>
          <w:lang w:val="en-US" w:eastAsia="zh-CN"/>
        </w:rPr>
        <w:t>外</w:t>
      </w:r>
      <w:r>
        <w:rPr>
          <w:rFonts w:hint="default" w:ascii="Times New Roman" w:hAnsi="Times New Roman" w:eastAsia="仿宋_GB2312" w:cs="Times New Roman"/>
          <w:color w:val="auto"/>
          <w:sz w:val="32"/>
          <w:szCs w:val="32"/>
          <w:highlight w:val="none"/>
          <w:lang w:val="en-US" w:eastAsia="zh-CN"/>
        </w:rPr>
        <w:t>企业开展保税维修，</w:t>
      </w:r>
      <w:r>
        <w:rPr>
          <w:rFonts w:hint="eastAsia" w:ascii="仿宋_GB2312" w:hAnsi="仿宋_GB2312" w:eastAsia="仿宋_GB2312" w:cs="仿宋_GB2312"/>
          <w:color w:val="auto"/>
          <w:sz w:val="32"/>
          <w:szCs w:val="32"/>
          <w:highlight w:val="none"/>
          <w:lang w:val="en-US" w:eastAsia="zh-CN"/>
        </w:rPr>
        <w:t xml:space="preserve">由所在地省级人民政府以试点方式报请商务部等部门研究支持。 </w:t>
      </w:r>
    </w:p>
    <w:p w14:paraId="4754345B">
      <w:pPr>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 xml:space="preserve">    三、</w:t>
      </w:r>
      <w:r>
        <w:rPr>
          <w:rFonts w:hint="default" w:ascii="Times New Roman" w:hAnsi="Times New Roman" w:eastAsia="黑体" w:cs="Times New Roman"/>
          <w:color w:val="auto"/>
          <w:sz w:val="32"/>
          <w:szCs w:val="32"/>
          <w:highlight w:val="none"/>
          <w:lang w:val="en-US" w:eastAsia="zh-CN"/>
        </w:rPr>
        <w:t>项目申报</w:t>
      </w:r>
    </w:p>
    <w:p w14:paraId="4FF14264">
      <w:pPr>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根据《中华人民共和国固体废物污染环境防治法》</w:t>
      </w:r>
      <w:r>
        <w:rPr>
          <w:rFonts w:hint="eastAsia" w:ascii="Times New Roman" w:hAnsi="Times New Roman" w:eastAsia="仿宋_GB2312" w:cs="Times New Roman"/>
          <w:color w:val="auto"/>
          <w:sz w:val="32"/>
          <w:szCs w:val="32"/>
          <w:highlight w:val="none"/>
          <w:lang w:eastAsia="zh-CN"/>
        </w:rPr>
        <w:t>，海关总署令</w:t>
      </w:r>
      <w:r>
        <w:rPr>
          <w:rFonts w:hint="eastAsia" w:ascii="Times New Roman" w:hAnsi="Times New Roman" w:eastAsia="仿宋_GB2312" w:cs="Times New Roman"/>
          <w:color w:val="auto"/>
          <w:sz w:val="32"/>
          <w:szCs w:val="32"/>
          <w:highlight w:val="none"/>
          <w:lang w:val="en-US" w:eastAsia="zh-CN"/>
        </w:rPr>
        <w:t>2022年第256号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rPr>
        <w:t>《中华人民共和国海关综合保税区管理办法》</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生态环境部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商务部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国家发展改革委</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海关总署</w:t>
      </w:r>
      <w:r>
        <w:rPr>
          <w:rFonts w:hint="eastAsia" w:ascii="Times New Roman" w:hAnsi="Times New Roman" w:eastAsia="仿宋_GB2312" w:cs="Times New Roman"/>
          <w:color w:val="auto"/>
          <w:sz w:val="32"/>
          <w:szCs w:val="32"/>
          <w:highlight w:val="none"/>
          <w:lang w:val="en-US" w:eastAsia="zh-CN"/>
        </w:rPr>
        <w:t>公告2020年第53号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关于全面禁止进口固体废物有关事项的公告</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highlight w:val="none"/>
          <w:lang w:eastAsia="zh-CN"/>
        </w:rPr>
        <w:t>，海关总署公告</w:t>
      </w:r>
      <w:r>
        <w:rPr>
          <w:rFonts w:hint="eastAsia" w:ascii="Times New Roman" w:hAnsi="Times New Roman" w:eastAsia="仿宋_GB2312" w:cs="Times New Roman"/>
          <w:color w:val="auto"/>
          <w:sz w:val="32"/>
          <w:szCs w:val="32"/>
          <w:highlight w:val="none"/>
          <w:lang w:val="en-US" w:eastAsia="zh-CN"/>
        </w:rPr>
        <w:t>2015年第59号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lang w:eastAsia="zh-CN"/>
        </w:rPr>
        <w:t>《关于海关特殊监管区域内保税维修业务有关监管问题的公告》</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highlight w:val="none"/>
          <w:lang w:eastAsia="zh-CN"/>
        </w:rPr>
        <w:t>，海关总署公告</w:t>
      </w:r>
      <w:r>
        <w:rPr>
          <w:rFonts w:hint="eastAsia" w:ascii="Times New Roman" w:hAnsi="Times New Roman" w:eastAsia="仿宋_GB2312" w:cs="Times New Roman"/>
          <w:color w:val="auto"/>
          <w:sz w:val="32"/>
          <w:szCs w:val="32"/>
          <w:highlight w:val="none"/>
          <w:lang w:val="en-US" w:eastAsia="zh-CN"/>
        </w:rPr>
        <w:t>2018年第203号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lang w:eastAsia="zh-CN"/>
        </w:rPr>
        <w:t>《关于保税维修监管有关问题的公告》</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lang w:eastAsia="zh-CN"/>
        </w:rPr>
        <w:t>商务部、生态环境部、海关总署公告</w:t>
      </w:r>
      <w:r>
        <w:rPr>
          <w:rFonts w:hint="eastAsia" w:ascii="Times New Roman" w:hAnsi="Times New Roman" w:eastAsia="仿宋_GB2312" w:cs="Times New Roman"/>
          <w:color w:val="auto"/>
          <w:sz w:val="32"/>
          <w:szCs w:val="32"/>
          <w:lang w:val="en-US" w:eastAsia="zh-CN"/>
        </w:rPr>
        <w:t>2020年第16号</w:t>
      </w:r>
      <w:r>
        <w:rPr>
          <w:rFonts w:hint="eastAsia" w:ascii="Times New Roman" w:hAnsi="Times New Roman" w:eastAsia="仿宋_GB2312" w:cs="Times New Roman"/>
          <w:color w:val="auto"/>
          <w:sz w:val="32"/>
          <w:szCs w:val="32"/>
          <w:lang w:eastAsia="zh-CN"/>
        </w:rPr>
        <w:t>（《关于支持综合保税区内企业开展维修业务的公告》）</w:t>
      </w:r>
      <w:r>
        <w:rPr>
          <w:rFonts w:hint="default" w:ascii="Times New Roman" w:hAnsi="Times New Roman" w:eastAsia="仿宋_GB2312" w:cs="Times New Roman"/>
          <w:color w:val="auto"/>
          <w:sz w:val="32"/>
          <w:szCs w:val="32"/>
          <w:highlight w:val="none"/>
          <w:lang w:eastAsia="zh-CN"/>
        </w:rPr>
        <w:t>等文件规定，</w:t>
      </w:r>
      <w:r>
        <w:rPr>
          <w:rFonts w:hint="default" w:ascii="Times New Roman" w:hAnsi="Times New Roman" w:eastAsia="仿宋_GB2312" w:cs="Times New Roman"/>
          <w:color w:val="auto"/>
          <w:sz w:val="32"/>
          <w:szCs w:val="32"/>
          <w:highlight w:val="none"/>
          <w:lang w:val="en-US" w:eastAsia="zh-CN"/>
        </w:rPr>
        <w:t>企业申请开展保税维修业务，应满足一定条件</w:t>
      </w:r>
      <w:r>
        <w:rPr>
          <w:rFonts w:hint="eastAsia" w:ascii="Times New Roman" w:hAnsi="Times New Roman" w:eastAsia="仿宋_GB2312" w:cs="Times New Roman"/>
          <w:color w:val="auto"/>
          <w:sz w:val="32"/>
          <w:szCs w:val="32"/>
          <w:highlight w:val="none"/>
          <w:lang w:val="en-US" w:eastAsia="zh-CN"/>
        </w:rPr>
        <w:t>并符合相关要求</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u w:val="none"/>
          <w:lang w:val="en-US" w:eastAsia="zh-CN"/>
        </w:rPr>
        <w:t>制</w:t>
      </w:r>
      <w:r>
        <w:rPr>
          <w:rFonts w:hint="default" w:ascii="Times New Roman" w:hAnsi="Times New Roman" w:eastAsia="仿宋_GB2312" w:cs="Times New Roman"/>
          <w:color w:val="auto"/>
          <w:sz w:val="32"/>
          <w:szCs w:val="32"/>
          <w:highlight w:val="none"/>
          <w:u w:val="none"/>
          <w:lang w:eastAsia="zh-CN"/>
        </w:rPr>
        <w:t>定项目申报书</w:t>
      </w:r>
      <w:r>
        <w:rPr>
          <w:rFonts w:hint="default" w:ascii="Times New Roman" w:hAnsi="Times New Roman" w:eastAsia="仿宋_GB2312" w:cs="Times New Roman"/>
          <w:color w:val="auto"/>
          <w:sz w:val="32"/>
          <w:szCs w:val="32"/>
          <w:highlight w:val="none"/>
          <w:lang w:val="en-US" w:eastAsia="zh-CN"/>
        </w:rPr>
        <w:t>，并</w:t>
      </w:r>
      <w:r>
        <w:rPr>
          <w:rFonts w:hint="default" w:ascii="Times New Roman" w:hAnsi="Times New Roman" w:eastAsia="仿宋_GB2312" w:cs="Times New Roman"/>
          <w:b w:val="0"/>
          <w:bCs w:val="0"/>
          <w:color w:val="auto"/>
          <w:sz w:val="32"/>
          <w:szCs w:val="32"/>
          <w:highlight w:val="none"/>
          <w:lang w:eastAsia="zh-CN"/>
        </w:rPr>
        <w:t>由</w:t>
      </w:r>
      <w:r>
        <w:rPr>
          <w:rFonts w:hint="default" w:ascii="Times New Roman" w:hAnsi="Times New Roman" w:eastAsia="仿宋_GB2312" w:cs="Times New Roman"/>
          <w:b w:val="0"/>
          <w:bCs w:val="0"/>
          <w:color w:val="auto"/>
          <w:sz w:val="32"/>
          <w:szCs w:val="32"/>
          <w:highlight w:val="none"/>
          <w:u w:val="none"/>
          <w:lang w:eastAsia="zh-CN"/>
        </w:rPr>
        <w:t>地方</w:t>
      </w:r>
      <w:r>
        <w:rPr>
          <w:rFonts w:hint="default" w:ascii="Times New Roman" w:hAnsi="Times New Roman" w:eastAsia="仿宋_GB2312" w:cs="Times New Roman"/>
          <w:b w:val="0"/>
          <w:bCs w:val="0"/>
          <w:color w:val="auto"/>
          <w:sz w:val="32"/>
          <w:szCs w:val="32"/>
          <w:highlight w:val="none"/>
          <w:lang w:eastAsia="zh-CN"/>
        </w:rPr>
        <w:t>商务主管部门牵头生态</w:t>
      </w:r>
      <w:r>
        <w:rPr>
          <w:rFonts w:hint="eastAsia" w:ascii="Times New Roman" w:hAnsi="Times New Roman" w:eastAsia="仿宋_GB2312" w:cs="Times New Roman"/>
          <w:color w:val="auto"/>
          <w:sz w:val="32"/>
          <w:szCs w:val="32"/>
          <w:highlight w:val="none"/>
          <w:lang w:eastAsia="zh-CN"/>
        </w:rPr>
        <w:t>环境</w:t>
      </w:r>
      <w:r>
        <w:rPr>
          <w:rFonts w:hint="default" w:ascii="Times New Roman" w:hAnsi="Times New Roman" w:eastAsia="仿宋_GB2312" w:cs="Times New Roman"/>
          <w:b w:val="0"/>
          <w:bCs w:val="0"/>
          <w:color w:val="auto"/>
          <w:sz w:val="32"/>
          <w:szCs w:val="32"/>
          <w:highlight w:val="none"/>
          <w:lang w:eastAsia="zh-CN"/>
        </w:rPr>
        <w:t>、海关等部门制定项目综合监管方案</w:t>
      </w:r>
      <w:r>
        <w:rPr>
          <w:rFonts w:hint="default" w:ascii="Times New Roman" w:hAnsi="Times New Roman" w:eastAsia="仿宋_GB2312" w:cs="Times New Roman"/>
          <w:color w:val="auto"/>
          <w:sz w:val="32"/>
          <w:szCs w:val="32"/>
          <w:highlight w:val="none"/>
          <w:lang w:val="en-US" w:eastAsia="zh-CN"/>
        </w:rPr>
        <w:t>，主要包括：项目可行性方案（商务部门牵头负责）、生态环境监管方案（生态环境部门牵头负责）、海关监管方案（海关牵头负责）</w:t>
      </w:r>
      <w:r>
        <w:rPr>
          <w:rFonts w:hint="eastAsia" w:ascii="Times New Roman" w:hAnsi="Times New Roman" w:eastAsia="仿宋_GB2312" w:cs="Times New Roman"/>
          <w:color w:val="auto"/>
          <w:sz w:val="32"/>
          <w:szCs w:val="32"/>
          <w:highlight w:val="none"/>
          <w:lang w:val="en-US" w:eastAsia="zh-CN"/>
        </w:rPr>
        <w:t>，以及项目暂停、终止相关条款</w:t>
      </w:r>
      <w:r>
        <w:rPr>
          <w:rFonts w:hint="default" w:ascii="Times New Roman" w:hAnsi="Times New Roman" w:eastAsia="仿宋_GB2312" w:cs="Times New Roman"/>
          <w:color w:val="auto"/>
          <w:sz w:val="32"/>
          <w:szCs w:val="32"/>
          <w:highlight w:val="none"/>
          <w:lang w:val="en-US" w:eastAsia="zh-CN"/>
        </w:rPr>
        <w:t>。综合监管方案需结合本地实际，综合考虑企业的产品附加值水平、产业发展要求、维修技术和能力、生态环境责任等因素。</w:t>
      </w:r>
    </w:p>
    <w:p w14:paraId="7952DA93">
      <w:pPr>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楷体_GB2312" w:cs="Times New Roman"/>
          <w:b/>
          <w:bCs/>
          <w:color w:val="auto"/>
          <w:sz w:val="32"/>
          <w:szCs w:val="32"/>
          <w:highlight w:val="none"/>
          <w:lang w:eastAsia="zh-CN"/>
        </w:rPr>
      </w:pPr>
      <w:r>
        <w:rPr>
          <w:rFonts w:hint="eastAsia" w:ascii="Times New Roman" w:hAnsi="Times New Roman" w:eastAsia="楷体_GB2312"/>
          <w:b/>
          <w:bCs/>
          <w:color w:val="auto"/>
          <w:sz w:val="32"/>
          <w:szCs w:val="32"/>
          <w:highlight w:val="none"/>
          <w:lang w:val="en-US" w:eastAsia="zh-CN"/>
        </w:rPr>
        <w:t xml:space="preserve">    （一）</w:t>
      </w:r>
      <w:r>
        <w:rPr>
          <w:rFonts w:hint="default" w:ascii="Times New Roman" w:hAnsi="Times New Roman" w:eastAsia="楷体_GB2312"/>
          <w:b/>
          <w:bCs/>
          <w:color w:val="auto"/>
          <w:sz w:val="32"/>
          <w:szCs w:val="32"/>
          <w:highlight w:val="none"/>
        </w:rPr>
        <w:t>企业开展保税维修业务条件和要求</w:t>
      </w:r>
      <w:r>
        <w:rPr>
          <w:rFonts w:hint="eastAsia" w:ascii="Times New Roman" w:hAnsi="Times New Roman" w:eastAsia="楷体_GB2312"/>
          <w:b/>
          <w:bCs/>
          <w:color w:val="auto"/>
          <w:sz w:val="32"/>
          <w:szCs w:val="32"/>
          <w:highlight w:val="none"/>
          <w:lang w:eastAsia="zh-CN"/>
        </w:rPr>
        <w:t>。</w:t>
      </w:r>
    </w:p>
    <w:p w14:paraId="281B4F36">
      <w:pPr>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1.依法登记注册，经营场所与注册地一致，具备独立法人资格</w:t>
      </w:r>
      <w:r>
        <w:rPr>
          <w:rFonts w:hint="eastAsia" w:ascii="Times New Roman" w:hAnsi="Times New Roman" w:eastAsia="仿宋_GB2312" w:cs="Times New Roman"/>
          <w:color w:val="auto"/>
          <w:sz w:val="32"/>
          <w:szCs w:val="32"/>
          <w:highlight w:val="none"/>
          <w:u w:val="none"/>
          <w:lang w:val="en-US" w:eastAsia="zh-CN"/>
        </w:rPr>
        <w:t>。</w:t>
      </w:r>
    </w:p>
    <w:p w14:paraId="7A34B69D">
      <w:pPr>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outlineLvl w:val="9"/>
        <w:rPr>
          <w:rFonts w:hint="default" w:ascii="Times New Roman" w:hAnsi="Times New Roman"/>
          <w:sz w:val="32"/>
          <w:szCs w:val="32"/>
          <w:lang w:val="en-US" w:eastAsia="zh-CN"/>
        </w:rPr>
      </w:pP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提供业务情况说明、对外签订的维修合同、品牌所有人或代理人对维修业务的授权等文件</w:t>
      </w:r>
      <w:r>
        <w:rPr>
          <w:rFonts w:hint="eastAsia" w:ascii="Times New Roman" w:hAnsi="Times New Roman" w:eastAsia="仿宋_GB2312" w:cs="Times New Roman"/>
          <w:color w:val="auto"/>
          <w:sz w:val="32"/>
          <w:szCs w:val="32"/>
          <w:highlight w:val="none"/>
          <w:lang w:eastAsia="zh-CN"/>
        </w:rPr>
        <w:t>。</w:t>
      </w:r>
    </w:p>
    <w:p w14:paraId="0B0A7C8A">
      <w:pPr>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3.具有符合环境保护、海关监管等有关法律、法规和强制性标准要求的维修设备和场所，对已维修货物、待维修货物、无法维修货物、维修用料件、维修过程中替换下的旧件或坏件、维修过程中产生的边角料等进行专门管理</w:t>
      </w:r>
      <w:r>
        <w:rPr>
          <w:rFonts w:hint="eastAsia" w:ascii="Times New Roman" w:hAnsi="Times New Roman" w:eastAsia="仿宋_GB2312" w:cs="Times New Roman"/>
          <w:color w:val="auto"/>
          <w:sz w:val="32"/>
          <w:szCs w:val="32"/>
          <w:highlight w:val="none"/>
          <w:u w:val="none"/>
          <w:lang w:val="en-US" w:eastAsia="zh-CN"/>
        </w:rPr>
        <w:t>。</w:t>
      </w:r>
    </w:p>
    <w:p w14:paraId="5BFD091B">
      <w:pPr>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4.具有相应的污染防治设施和能力，依法依规</w:t>
      </w:r>
      <w:r>
        <w:rPr>
          <w:rFonts w:hint="default" w:ascii="Times New Roman" w:hAnsi="Times New Roman" w:eastAsia="仿宋_GB2312" w:cs="Times New Roman"/>
          <w:color w:val="auto"/>
          <w:sz w:val="32"/>
          <w:szCs w:val="32"/>
          <w:highlight w:val="none"/>
          <w:u w:val="none"/>
        </w:rPr>
        <w:t>开展</w:t>
      </w:r>
      <w:r>
        <w:rPr>
          <w:rFonts w:hint="default" w:ascii="Times New Roman" w:hAnsi="Times New Roman" w:eastAsia="仿宋_GB2312" w:cs="Times New Roman"/>
          <w:color w:val="auto"/>
          <w:sz w:val="32"/>
          <w:szCs w:val="32"/>
          <w:highlight w:val="none"/>
          <w:u w:val="none"/>
          <w:lang w:eastAsia="zh-CN"/>
        </w:rPr>
        <w:t>环境影响评价，在委托第三方环评机构编制环评报告时，细化维修产生或替换的废旧料件的种类和处理方式，</w:t>
      </w:r>
      <w:r>
        <w:rPr>
          <w:rFonts w:hint="default" w:ascii="Times New Roman" w:hAnsi="Times New Roman" w:eastAsia="仿宋_GB2312" w:cs="Times New Roman"/>
          <w:color w:val="auto"/>
          <w:sz w:val="32"/>
          <w:szCs w:val="32"/>
          <w:highlight w:val="none"/>
          <w:u w:val="none"/>
          <w:lang w:val="en-US" w:eastAsia="zh-CN"/>
        </w:rPr>
        <w:t>满足相关废物处理等环保要求，</w:t>
      </w:r>
      <w:r>
        <w:rPr>
          <w:rFonts w:hint="eastAsia" w:ascii="Times New Roman" w:hAnsi="Times New Roman" w:eastAsia="仿宋_GB2312" w:cs="Times New Roman"/>
          <w:color w:val="auto"/>
          <w:sz w:val="32"/>
          <w:szCs w:val="32"/>
          <w:highlight w:val="none"/>
          <w:u w:val="none"/>
          <w:lang w:val="en-US" w:eastAsia="zh-CN"/>
        </w:rPr>
        <w:t>在排放污染物前取得排污许可证或完成排污登记，实现按证排污和污染物达标排放。</w:t>
      </w:r>
    </w:p>
    <w:p w14:paraId="2DDA972B">
      <w:pPr>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5.维修产生X射线等电离辐射或内含放射性</w:t>
      </w:r>
      <w:r>
        <w:rPr>
          <w:rFonts w:hint="eastAsia" w:ascii="Times New Roman" w:hAnsi="Times New Roman" w:eastAsia="仿宋_GB2312" w:cs="Times New Roman"/>
          <w:color w:val="auto"/>
          <w:sz w:val="32"/>
          <w:szCs w:val="32"/>
          <w:highlight w:val="none"/>
          <w:u w:val="none"/>
          <w:lang w:val="en-US" w:eastAsia="zh-CN"/>
        </w:rPr>
        <w:t>同位素</w:t>
      </w:r>
      <w:r>
        <w:rPr>
          <w:rFonts w:hint="default" w:ascii="Times New Roman" w:hAnsi="Times New Roman" w:eastAsia="仿宋_GB2312" w:cs="Times New Roman"/>
          <w:color w:val="auto"/>
          <w:sz w:val="32"/>
          <w:szCs w:val="32"/>
          <w:highlight w:val="none"/>
          <w:u w:val="none"/>
          <w:lang w:val="en-US" w:eastAsia="zh-CN"/>
        </w:rPr>
        <w:t>的设备时，按照放射性同位素及射线装置安全和防护的有关要求履行环境影响评价手续，并取得相应许可</w:t>
      </w:r>
      <w:r>
        <w:rPr>
          <w:rFonts w:hint="eastAsia" w:ascii="Times New Roman" w:hAnsi="Times New Roman" w:eastAsia="仿宋_GB2312" w:cs="Times New Roman"/>
          <w:color w:val="auto"/>
          <w:sz w:val="32"/>
          <w:szCs w:val="32"/>
          <w:highlight w:val="none"/>
          <w:u w:val="none"/>
          <w:lang w:val="en-US" w:eastAsia="zh-CN"/>
        </w:rPr>
        <w:t>。</w:t>
      </w:r>
    </w:p>
    <w:p w14:paraId="6671ECAA">
      <w:pPr>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eastAsia="zh-CN"/>
        </w:rPr>
        <w:t xml:space="preserve">    </w:t>
      </w:r>
      <w:r>
        <w:rPr>
          <w:rFonts w:hint="default" w:ascii="Times New Roman" w:hAnsi="Times New Roman" w:eastAsia="仿宋_GB2312" w:cs="Times New Roman"/>
          <w:color w:val="auto"/>
          <w:sz w:val="32"/>
          <w:szCs w:val="32"/>
          <w:highlight w:val="none"/>
          <w:u w:val="none"/>
          <w:lang w:val="en-US" w:eastAsia="zh-CN"/>
        </w:rPr>
        <w:t>6.建立健全产品维修的相关技术质量标准和生产规范</w:t>
      </w:r>
      <w:r>
        <w:rPr>
          <w:rFonts w:hint="eastAsia" w:ascii="Times New Roman" w:hAnsi="Times New Roman" w:eastAsia="仿宋_GB2312" w:cs="Times New Roman"/>
          <w:color w:val="auto"/>
          <w:sz w:val="32"/>
          <w:szCs w:val="32"/>
          <w:highlight w:val="none"/>
          <w:u w:val="none"/>
          <w:lang w:val="en-US" w:eastAsia="zh-CN"/>
        </w:rPr>
        <w:t>。</w:t>
      </w:r>
    </w:p>
    <w:p w14:paraId="7D0984BF">
      <w:pPr>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eastAsia="zh-CN"/>
        </w:rPr>
        <w:t xml:space="preserve">    </w:t>
      </w:r>
      <w:r>
        <w:rPr>
          <w:rFonts w:hint="default" w:ascii="Times New Roman" w:hAnsi="Times New Roman" w:eastAsia="仿宋_GB2312" w:cs="Times New Roman"/>
          <w:color w:val="auto"/>
          <w:sz w:val="32"/>
          <w:szCs w:val="32"/>
          <w:highlight w:val="none"/>
          <w:u w:val="none"/>
          <w:lang w:val="en-US" w:eastAsia="zh-CN"/>
        </w:rPr>
        <w:t>7.建立符合商务、生态</w:t>
      </w:r>
      <w:r>
        <w:rPr>
          <w:rFonts w:hint="eastAsia" w:ascii="Times New Roman" w:hAnsi="Times New Roman" w:eastAsia="仿宋_GB2312" w:cs="Times New Roman"/>
          <w:color w:val="auto"/>
          <w:sz w:val="32"/>
          <w:szCs w:val="32"/>
          <w:highlight w:val="none"/>
          <w:lang w:eastAsia="zh-CN"/>
        </w:rPr>
        <w:t>环境</w:t>
      </w:r>
      <w:r>
        <w:rPr>
          <w:rFonts w:hint="default" w:ascii="Times New Roman" w:hAnsi="Times New Roman" w:eastAsia="仿宋_GB2312" w:cs="Times New Roman"/>
          <w:color w:val="auto"/>
          <w:sz w:val="32"/>
          <w:szCs w:val="32"/>
          <w:highlight w:val="none"/>
          <w:u w:val="none"/>
          <w:lang w:val="en-US" w:eastAsia="zh-CN"/>
        </w:rPr>
        <w:t>、海关等部门要求的内部管理制度，包括进口旧件标准、维修工艺流程、维修质量控制及质量检验规程、维修产品质量保证和售后服务、维修产品溯源、生态</w:t>
      </w:r>
      <w:r>
        <w:rPr>
          <w:rFonts w:hint="eastAsia" w:ascii="Times New Roman" w:hAnsi="Times New Roman" w:eastAsia="仿宋_GB2312" w:cs="Times New Roman"/>
          <w:color w:val="auto"/>
          <w:sz w:val="32"/>
          <w:szCs w:val="32"/>
          <w:highlight w:val="none"/>
          <w:lang w:eastAsia="zh-CN"/>
        </w:rPr>
        <w:t>环境</w:t>
      </w:r>
      <w:r>
        <w:rPr>
          <w:rFonts w:hint="default" w:ascii="Times New Roman" w:hAnsi="Times New Roman" w:eastAsia="仿宋_GB2312" w:cs="Times New Roman"/>
          <w:color w:val="auto"/>
          <w:sz w:val="32"/>
          <w:szCs w:val="32"/>
          <w:highlight w:val="none"/>
          <w:u w:val="none"/>
          <w:lang w:val="en-US" w:eastAsia="zh-CN"/>
        </w:rPr>
        <w:t>管理流程等内容，报地方商务、生态</w:t>
      </w:r>
      <w:r>
        <w:rPr>
          <w:rFonts w:hint="eastAsia" w:ascii="Times New Roman" w:hAnsi="Times New Roman" w:eastAsia="仿宋_GB2312" w:cs="Times New Roman"/>
          <w:color w:val="auto"/>
          <w:sz w:val="32"/>
          <w:szCs w:val="32"/>
          <w:highlight w:val="none"/>
          <w:lang w:eastAsia="zh-CN"/>
        </w:rPr>
        <w:t>环境</w:t>
      </w:r>
      <w:r>
        <w:rPr>
          <w:rFonts w:hint="default" w:ascii="Times New Roman" w:hAnsi="Times New Roman" w:eastAsia="仿宋_GB2312" w:cs="Times New Roman"/>
          <w:color w:val="auto"/>
          <w:sz w:val="32"/>
          <w:szCs w:val="32"/>
          <w:highlight w:val="none"/>
          <w:u w:val="none"/>
          <w:lang w:val="en-US" w:eastAsia="zh-CN"/>
        </w:rPr>
        <w:t>、海关</w:t>
      </w:r>
      <w:r>
        <w:rPr>
          <w:rFonts w:hint="default" w:ascii="Times New Roman" w:hAnsi="Times New Roman" w:eastAsia="仿宋_GB2312" w:cs="Times New Roman"/>
          <w:color w:val="auto"/>
          <w:sz w:val="32"/>
          <w:szCs w:val="32"/>
          <w:highlight w:val="none"/>
          <w:u w:val="none"/>
          <w:lang w:eastAsia="zh-CN"/>
        </w:rPr>
        <w:t>等</w:t>
      </w:r>
      <w:r>
        <w:rPr>
          <w:rFonts w:hint="default" w:ascii="Times New Roman" w:hAnsi="Times New Roman" w:eastAsia="仿宋_GB2312" w:cs="Times New Roman"/>
          <w:color w:val="auto"/>
          <w:sz w:val="32"/>
          <w:szCs w:val="32"/>
          <w:highlight w:val="none"/>
          <w:u w:val="none"/>
          <w:lang w:val="en-US" w:eastAsia="zh-CN"/>
        </w:rPr>
        <w:t>部门及所在区域备案</w:t>
      </w:r>
      <w:r>
        <w:rPr>
          <w:rFonts w:hint="eastAsia" w:ascii="Times New Roman" w:hAnsi="Times New Roman" w:eastAsia="仿宋_GB2312" w:cs="Times New Roman"/>
          <w:color w:val="auto"/>
          <w:sz w:val="32"/>
          <w:szCs w:val="32"/>
          <w:highlight w:val="none"/>
          <w:u w:val="none"/>
          <w:lang w:val="en-US" w:eastAsia="zh-CN"/>
        </w:rPr>
        <w:t>。</w:t>
      </w:r>
    </w:p>
    <w:p w14:paraId="3AD1D23D">
      <w:pPr>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eastAsia="zh-CN"/>
        </w:rPr>
        <w:t xml:space="preserve">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8.</w:t>
      </w:r>
      <w:r>
        <w:rPr>
          <w:rFonts w:hint="default" w:ascii="Times New Roman" w:hAnsi="Times New Roman" w:eastAsia="仿宋_GB2312" w:cs="Times New Roman"/>
          <w:color w:val="auto"/>
          <w:sz w:val="32"/>
          <w:szCs w:val="32"/>
          <w:highlight w:val="none"/>
          <w:u w:val="none"/>
          <w:lang w:eastAsia="zh-CN"/>
        </w:rPr>
        <w:t>进口前完成对旧件的检测和预处理，剔除</w:t>
      </w:r>
      <w:r>
        <w:rPr>
          <w:rFonts w:hint="default" w:ascii="Times New Roman" w:hAnsi="Times New Roman" w:eastAsia="仿宋_GB2312" w:cs="Times New Roman"/>
          <w:color w:val="auto"/>
          <w:sz w:val="32"/>
          <w:szCs w:val="32"/>
          <w:highlight w:val="none"/>
          <w:u w:val="none"/>
        </w:rPr>
        <w:t>绝大部分无法完成</w:t>
      </w:r>
      <w:r>
        <w:rPr>
          <w:rFonts w:hint="default" w:ascii="Times New Roman" w:hAnsi="Times New Roman" w:eastAsia="仿宋_GB2312" w:cs="Times New Roman"/>
          <w:color w:val="auto"/>
          <w:sz w:val="32"/>
          <w:szCs w:val="32"/>
          <w:highlight w:val="none"/>
          <w:u w:val="none"/>
          <w:lang w:eastAsia="zh-CN"/>
        </w:rPr>
        <w:t>维修</w:t>
      </w:r>
      <w:r>
        <w:rPr>
          <w:rFonts w:hint="default" w:ascii="Times New Roman" w:hAnsi="Times New Roman" w:eastAsia="仿宋_GB2312" w:cs="Times New Roman"/>
          <w:color w:val="auto"/>
          <w:sz w:val="32"/>
          <w:szCs w:val="32"/>
          <w:highlight w:val="none"/>
          <w:u w:val="none"/>
        </w:rPr>
        <w:t>的旧件</w:t>
      </w:r>
      <w:r>
        <w:rPr>
          <w:rFonts w:hint="default" w:ascii="Times New Roman" w:hAnsi="Times New Roman" w:eastAsia="仿宋_GB2312" w:cs="Times New Roman"/>
          <w:color w:val="auto"/>
          <w:sz w:val="32"/>
          <w:szCs w:val="32"/>
          <w:highlight w:val="none"/>
          <w:u w:val="none"/>
          <w:lang w:eastAsia="zh-CN"/>
        </w:rPr>
        <w:t>及废油、废渣等</w:t>
      </w:r>
      <w:r>
        <w:rPr>
          <w:rFonts w:hint="eastAsia" w:ascii="Times New Roman" w:hAnsi="Times New Roman" w:eastAsia="仿宋_GB2312" w:cs="Times New Roman"/>
          <w:color w:val="auto"/>
          <w:sz w:val="32"/>
          <w:szCs w:val="32"/>
          <w:highlight w:val="none"/>
          <w:u w:val="none"/>
          <w:lang w:eastAsia="zh-CN"/>
        </w:rPr>
        <w:t>。</w:t>
      </w:r>
    </w:p>
    <w:p w14:paraId="544586F1">
      <w:pPr>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outlineLvl w:val="9"/>
        <w:rPr>
          <w:rFonts w:hint="default" w:ascii="Times New Roman" w:hAnsi="Times New Roman"/>
          <w:sz w:val="32"/>
          <w:szCs w:val="32"/>
          <w:lang w:val="en-US" w:eastAsia="zh-CN"/>
        </w:rPr>
      </w:pP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9.</w:t>
      </w:r>
      <w:r>
        <w:rPr>
          <w:rFonts w:hint="eastAsia" w:ascii="Times New Roman" w:hAnsi="Times New Roman" w:eastAsia="仿宋_GB2312" w:cs="Times New Roman"/>
          <w:color w:val="auto"/>
          <w:sz w:val="32"/>
          <w:szCs w:val="32"/>
          <w:highlight w:val="none"/>
          <w:u w:val="none"/>
          <w:lang w:val="en-US" w:eastAsia="zh-CN"/>
        </w:rPr>
        <w:t>建立维修业务管理制度和与海关等部门联网的信息化管理系统（ERP），能够按照要求及时准确传输有关数据，实现对维修耗用等信息的全程跟踪和可追溯。</w:t>
      </w:r>
    </w:p>
    <w:p w14:paraId="38EC8A67">
      <w:pPr>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default"/>
          <w:sz w:val="32"/>
          <w:szCs w:val="32"/>
          <w:lang w:eastAsia="zh-CN"/>
        </w:rPr>
      </w:pPr>
      <w:r>
        <w:rPr>
          <w:rFonts w:hint="default" w:ascii="Times New Roman" w:hAnsi="Times New Roman" w:eastAsia="仿宋_GB2312" w:cs="Times New Roman"/>
          <w:color w:val="auto"/>
          <w:sz w:val="32"/>
          <w:szCs w:val="32"/>
          <w:highlight w:val="none"/>
          <w:u w:val="none"/>
          <w:lang w:eastAsia="zh-CN"/>
        </w:rPr>
        <w:t xml:space="preserve">    </w:t>
      </w:r>
      <w:r>
        <w:rPr>
          <w:rFonts w:hint="default" w:ascii="Times New Roman" w:hAnsi="Times New Roman" w:eastAsia="仿宋_GB2312" w:cs="Times New Roman"/>
          <w:color w:val="auto"/>
          <w:sz w:val="32"/>
          <w:szCs w:val="32"/>
          <w:highlight w:val="none"/>
          <w:u w:val="none"/>
          <w:lang w:val="en-US" w:eastAsia="zh-CN"/>
        </w:rPr>
        <w:t>10.</w:t>
      </w:r>
      <w:r>
        <w:rPr>
          <w:rFonts w:hint="default" w:ascii="Times New Roman" w:hAnsi="Times New Roman" w:eastAsia="仿宋_GB2312" w:cs="Times New Roman"/>
          <w:color w:val="auto"/>
          <w:sz w:val="32"/>
          <w:szCs w:val="32"/>
          <w:highlight w:val="none"/>
          <w:u w:val="none"/>
          <w:lang w:eastAsia="zh-CN"/>
        </w:rPr>
        <w:t>符合</w:t>
      </w:r>
      <w:r>
        <w:rPr>
          <w:rFonts w:hint="default" w:ascii="Times New Roman" w:hAnsi="Times New Roman" w:eastAsia="仿宋_GB2312" w:cs="Times New Roman"/>
          <w:color w:val="auto"/>
          <w:sz w:val="32"/>
          <w:szCs w:val="32"/>
          <w:highlight w:val="none"/>
          <w:u w:val="none"/>
          <w:lang w:val="en-US" w:eastAsia="zh-CN"/>
        </w:rPr>
        <w:t>国家法律法规及有关主管部门规定的其他条件。</w:t>
      </w:r>
    </w:p>
    <w:p w14:paraId="3EFEA5DC">
      <w:pPr>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楷体_GB2312" w:cs="Times New Roman"/>
          <w:b/>
          <w:bCs/>
          <w:color w:val="auto"/>
          <w:sz w:val="32"/>
          <w:szCs w:val="32"/>
          <w:highlight w:val="none"/>
          <w:lang w:eastAsia="zh-CN"/>
        </w:rPr>
      </w:pPr>
      <w:r>
        <w:rPr>
          <w:rFonts w:hint="eastAsia" w:ascii="Times New Roman" w:hAnsi="Times New Roman" w:eastAsia="楷体_GB2312" w:cs="Times New Roman"/>
          <w:b/>
          <w:bCs/>
          <w:color w:val="auto"/>
          <w:sz w:val="32"/>
          <w:szCs w:val="32"/>
          <w:highlight w:val="none"/>
          <w:lang w:val="en-US" w:eastAsia="zh-CN"/>
        </w:rPr>
        <w:t xml:space="preserve">    （二）</w:t>
      </w:r>
      <w:r>
        <w:rPr>
          <w:rFonts w:hint="default" w:ascii="Times New Roman" w:hAnsi="Times New Roman" w:eastAsia="楷体_GB2312" w:cs="Times New Roman"/>
          <w:b/>
          <w:bCs/>
          <w:color w:val="auto"/>
          <w:sz w:val="32"/>
          <w:szCs w:val="32"/>
          <w:highlight w:val="none"/>
        </w:rPr>
        <w:t>项目可行性方案</w:t>
      </w:r>
      <w:r>
        <w:rPr>
          <w:rFonts w:hint="default" w:ascii="Times New Roman" w:hAnsi="Times New Roman" w:eastAsia="楷体_GB2312" w:cs="Times New Roman"/>
          <w:b/>
          <w:bCs/>
          <w:color w:val="auto"/>
          <w:sz w:val="32"/>
          <w:szCs w:val="32"/>
          <w:highlight w:val="none"/>
          <w:lang w:eastAsia="zh-CN"/>
        </w:rPr>
        <w:t>。</w:t>
      </w:r>
    </w:p>
    <w:p w14:paraId="2B8AD758">
      <w:pPr>
        <w:pageBreakBefore w:val="0"/>
        <w:widowControl w:val="0"/>
        <w:numPr>
          <w:ilvl w:val="0"/>
          <w:numId w:val="0"/>
        </w:numPr>
        <w:kinsoku/>
        <w:wordWrap/>
        <w:overflowPunct/>
        <w:topLinePunct w:val="0"/>
        <w:autoSpaceDE/>
        <w:autoSpaceDN/>
        <w:bidi w:val="0"/>
        <w:adjustRightInd/>
        <w:snapToGrid/>
        <w:spacing w:line="240" w:lineRule="auto"/>
        <w:ind w:firstLine="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eastAsia="zh-CN"/>
        </w:rPr>
        <w:t>项目基本信息，主要包括：项目名称、实施地址、项目内容、维修产品名称及海关商品编码、业务流程、业务需求和产品来源、管理规范和技术标准、知识产权、区域规划的产业定位和布局安排等。</w:t>
      </w:r>
    </w:p>
    <w:p w14:paraId="1649A6EA">
      <w:pPr>
        <w:pageBreakBefore w:val="0"/>
        <w:widowControl w:val="0"/>
        <w:numPr>
          <w:ilvl w:val="0"/>
          <w:numId w:val="0"/>
        </w:numPr>
        <w:kinsoku/>
        <w:wordWrap/>
        <w:overflowPunct/>
        <w:topLinePunct w:val="0"/>
        <w:autoSpaceDE/>
        <w:autoSpaceDN/>
        <w:bidi w:val="0"/>
        <w:adjustRightInd/>
        <w:snapToGrid/>
        <w:spacing w:line="240" w:lineRule="auto"/>
        <w:ind w:firstLine="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2.项目</w:t>
      </w:r>
      <w:r>
        <w:rPr>
          <w:rFonts w:hint="default" w:ascii="Times New Roman" w:hAnsi="Times New Roman" w:eastAsia="仿宋_GB2312" w:cs="Times New Roman"/>
          <w:color w:val="auto"/>
          <w:sz w:val="32"/>
          <w:szCs w:val="32"/>
          <w:highlight w:val="none"/>
          <w:lang w:eastAsia="zh-CN"/>
        </w:rPr>
        <w:t>经济社会效益，主要包括：项目附加值和技术含量，预计维修产品数量、带动</w:t>
      </w:r>
      <w:r>
        <w:rPr>
          <w:rFonts w:hint="eastAsia" w:ascii="Times New Roman" w:hAnsi="Times New Roman" w:eastAsia="仿宋_GB2312" w:cs="Times New Roman"/>
          <w:color w:val="auto"/>
          <w:sz w:val="32"/>
          <w:szCs w:val="32"/>
          <w:highlight w:val="none"/>
          <w:lang w:eastAsia="zh-CN"/>
        </w:rPr>
        <w:t>外贸</w:t>
      </w:r>
      <w:r>
        <w:rPr>
          <w:rFonts w:hint="default" w:ascii="Times New Roman" w:hAnsi="Times New Roman" w:eastAsia="仿宋_GB2312" w:cs="Times New Roman"/>
          <w:color w:val="auto"/>
          <w:sz w:val="32"/>
          <w:szCs w:val="32"/>
          <w:highlight w:val="none"/>
          <w:lang w:eastAsia="zh-CN"/>
        </w:rPr>
        <w:t>、就业和投资增长情况，带动当地产业、企业发展情况，项目预计产生的其他经济社会效益等。</w:t>
      </w:r>
    </w:p>
    <w:p w14:paraId="2C07AADA">
      <w:pPr>
        <w:pageBreakBefore w:val="0"/>
        <w:widowControl w:val="0"/>
        <w:numPr>
          <w:ilvl w:val="0"/>
          <w:numId w:val="0"/>
        </w:numPr>
        <w:kinsoku/>
        <w:wordWrap/>
        <w:overflowPunct/>
        <w:topLinePunct w:val="0"/>
        <w:autoSpaceDE/>
        <w:autoSpaceDN/>
        <w:bidi w:val="0"/>
        <w:adjustRightInd/>
        <w:snapToGrid/>
        <w:spacing w:line="240" w:lineRule="auto"/>
        <w:ind w:firstLine="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3.项目全流程监管</w:t>
      </w:r>
      <w:r>
        <w:rPr>
          <w:rFonts w:hint="default" w:ascii="Times New Roman" w:hAnsi="Times New Roman" w:eastAsia="仿宋_GB2312" w:cs="Times New Roman"/>
          <w:color w:val="auto"/>
          <w:sz w:val="32"/>
          <w:szCs w:val="32"/>
          <w:highlight w:val="none"/>
          <w:lang w:eastAsia="zh-CN"/>
        </w:rPr>
        <w:t>机制</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主要包括：成立相关工作机制，明确各部门</w:t>
      </w:r>
      <w:r>
        <w:rPr>
          <w:rFonts w:hint="eastAsia" w:ascii="Times New Roman" w:hAnsi="Times New Roman" w:eastAsia="仿宋_GB2312" w:cs="Times New Roman"/>
          <w:color w:val="auto"/>
          <w:sz w:val="32"/>
          <w:szCs w:val="32"/>
          <w:highlight w:val="none"/>
          <w:lang w:eastAsia="zh-CN"/>
        </w:rPr>
        <w:t>监管</w:t>
      </w:r>
      <w:r>
        <w:rPr>
          <w:rFonts w:hint="default" w:ascii="Times New Roman" w:hAnsi="Times New Roman" w:eastAsia="仿宋_GB2312" w:cs="Times New Roman"/>
          <w:color w:val="auto"/>
          <w:sz w:val="32"/>
          <w:szCs w:val="32"/>
          <w:highlight w:val="none"/>
          <w:lang w:eastAsia="zh-CN"/>
        </w:rPr>
        <w:t>职责，</w:t>
      </w:r>
      <w:r>
        <w:rPr>
          <w:rFonts w:hint="eastAsia" w:ascii="Times New Roman" w:hAnsi="Times New Roman" w:eastAsia="仿宋_GB2312" w:cs="Times New Roman"/>
          <w:color w:val="auto"/>
          <w:sz w:val="32"/>
          <w:szCs w:val="32"/>
          <w:highlight w:val="none"/>
          <w:lang w:eastAsia="zh-CN"/>
        </w:rPr>
        <w:t>企业具备与海关等部门联网的信息化管理系统（</w:t>
      </w:r>
      <w:r>
        <w:rPr>
          <w:rFonts w:hint="eastAsia" w:ascii="Times New Roman" w:hAnsi="Times New Roman" w:eastAsia="仿宋_GB2312" w:cs="Times New Roman"/>
          <w:color w:val="auto"/>
          <w:sz w:val="32"/>
          <w:szCs w:val="32"/>
          <w:highlight w:val="none"/>
          <w:lang w:val="en-US" w:eastAsia="zh-CN"/>
        </w:rPr>
        <w:t>ERP），实现</w:t>
      </w:r>
      <w:r>
        <w:rPr>
          <w:rFonts w:hint="default" w:ascii="Times New Roman" w:hAnsi="Times New Roman" w:eastAsia="仿宋_GB2312" w:cs="Times New Roman"/>
          <w:color w:val="auto"/>
          <w:sz w:val="32"/>
          <w:szCs w:val="32"/>
          <w:highlight w:val="none"/>
          <w:lang w:eastAsia="zh-CN"/>
        </w:rPr>
        <w:t>全流程监管</w:t>
      </w:r>
      <w:r>
        <w:rPr>
          <w:rFonts w:hint="eastAsia" w:ascii="Times New Roman" w:hAnsi="Times New Roman" w:eastAsia="仿宋_GB2312" w:cs="Times New Roman"/>
          <w:color w:val="auto"/>
          <w:sz w:val="32"/>
          <w:szCs w:val="32"/>
          <w:highlight w:val="none"/>
          <w:lang w:eastAsia="zh-CN"/>
        </w:rPr>
        <w:t>，定期开展评估</w:t>
      </w:r>
      <w:r>
        <w:rPr>
          <w:rFonts w:hint="default" w:ascii="Times New Roman" w:hAnsi="Times New Roman" w:eastAsia="仿宋_GB2312" w:cs="Times New Roman"/>
          <w:color w:val="auto"/>
          <w:sz w:val="32"/>
          <w:szCs w:val="32"/>
          <w:highlight w:val="none"/>
          <w:lang w:eastAsia="zh-CN"/>
        </w:rPr>
        <w:t>等。</w:t>
      </w:r>
    </w:p>
    <w:p w14:paraId="27AAD487">
      <w:pPr>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楷体_GB2312" w:cs="Times New Roman"/>
          <w:b/>
          <w:bCs/>
          <w:color w:val="auto"/>
          <w:sz w:val="32"/>
          <w:szCs w:val="32"/>
          <w:highlight w:val="none"/>
          <w:lang w:eastAsia="zh-CN"/>
        </w:rPr>
      </w:pPr>
      <w:r>
        <w:rPr>
          <w:rFonts w:hint="eastAsia" w:ascii="Times New Roman" w:hAnsi="Times New Roman" w:eastAsia="楷体_GB2312" w:cs="Times New Roman"/>
          <w:b/>
          <w:bCs/>
          <w:color w:val="auto"/>
          <w:sz w:val="32"/>
          <w:szCs w:val="32"/>
          <w:highlight w:val="none"/>
          <w:lang w:val="en-US" w:eastAsia="zh-CN"/>
        </w:rPr>
        <w:t xml:space="preserve">    </w:t>
      </w:r>
      <w:r>
        <w:rPr>
          <w:rFonts w:hint="default" w:ascii="Times New Roman" w:hAnsi="Times New Roman" w:eastAsia="楷体_GB2312" w:cs="Times New Roman"/>
          <w:b/>
          <w:bCs/>
          <w:color w:val="auto"/>
          <w:sz w:val="32"/>
          <w:szCs w:val="32"/>
          <w:highlight w:val="none"/>
          <w:lang w:eastAsia="zh-CN"/>
        </w:rPr>
        <w:t>（</w:t>
      </w:r>
      <w:r>
        <w:rPr>
          <w:rFonts w:hint="eastAsia" w:ascii="Times New Roman" w:hAnsi="Times New Roman" w:eastAsia="楷体_GB2312" w:cs="Times New Roman"/>
          <w:b/>
          <w:bCs/>
          <w:color w:val="auto"/>
          <w:sz w:val="32"/>
          <w:szCs w:val="32"/>
          <w:highlight w:val="none"/>
          <w:lang w:eastAsia="zh-CN"/>
        </w:rPr>
        <w:t>三</w:t>
      </w:r>
      <w:r>
        <w:rPr>
          <w:rFonts w:hint="default" w:ascii="Times New Roman" w:hAnsi="Times New Roman" w:eastAsia="楷体_GB2312" w:cs="Times New Roman"/>
          <w:b/>
          <w:bCs/>
          <w:color w:val="auto"/>
          <w:sz w:val="32"/>
          <w:szCs w:val="32"/>
          <w:highlight w:val="none"/>
          <w:lang w:eastAsia="zh-CN"/>
        </w:rPr>
        <w:t>）</w:t>
      </w:r>
      <w:r>
        <w:rPr>
          <w:rFonts w:hint="default" w:ascii="Times New Roman" w:hAnsi="Times New Roman" w:eastAsia="楷体_GB2312" w:cs="Times New Roman"/>
          <w:b/>
          <w:bCs/>
          <w:color w:val="auto"/>
          <w:sz w:val="32"/>
          <w:szCs w:val="32"/>
          <w:highlight w:val="none"/>
        </w:rPr>
        <w:t>生态环境监管方案</w:t>
      </w:r>
      <w:r>
        <w:rPr>
          <w:rFonts w:hint="default" w:ascii="Times New Roman" w:hAnsi="Times New Roman" w:eastAsia="楷体_GB2312" w:cs="Times New Roman"/>
          <w:b/>
          <w:bCs/>
          <w:color w:val="auto"/>
          <w:sz w:val="32"/>
          <w:szCs w:val="32"/>
          <w:highlight w:val="none"/>
          <w:lang w:eastAsia="zh-CN"/>
        </w:rPr>
        <w:t>。</w:t>
      </w:r>
    </w:p>
    <w:p w14:paraId="442296A7">
      <w:pPr>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lang w:val="en-US" w:eastAsia="zh-CN"/>
        </w:rPr>
        <w:t>1.维修废料管理</w:t>
      </w:r>
      <w:r>
        <w:rPr>
          <w:rFonts w:hint="default" w:ascii="Times New Roman" w:hAnsi="Times New Roman" w:eastAsia="仿宋_GB2312" w:cs="Times New Roman"/>
          <w:color w:val="auto"/>
          <w:sz w:val="32"/>
          <w:szCs w:val="32"/>
          <w:highlight w:val="none"/>
          <w:lang w:eastAsia="zh-CN"/>
        </w:rPr>
        <w:t>，主要包括：生态环境部门对项目维修过程中产生的固体废物、危险废物、废气等管理计划和应急管理预案，开展项目维修率</w:t>
      </w:r>
      <w:r>
        <w:rPr>
          <w:rFonts w:hint="default" w:ascii="Times New Roman" w:hAnsi="Times New Roman" w:eastAsia="仿宋_GB2312" w:cs="Times New Roman"/>
          <w:color w:val="auto"/>
          <w:sz w:val="32"/>
          <w:szCs w:val="32"/>
          <w:highlight w:val="none"/>
          <w:u w:val="none"/>
          <w:lang w:val="en-US" w:eastAsia="zh-CN"/>
        </w:rPr>
        <w:t>备案及后续核查</w:t>
      </w:r>
      <w:r>
        <w:rPr>
          <w:rFonts w:hint="default" w:ascii="Times New Roman" w:hAnsi="Times New Roman" w:eastAsia="仿宋_GB2312" w:cs="Times New Roman"/>
          <w:color w:val="auto"/>
          <w:sz w:val="32"/>
          <w:szCs w:val="32"/>
          <w:highlight w:val="none"/>
          <w:lang w:eastAsia="zh-CN"/>
        </w:rPr>
        <w:t>等</w:t>
      </w:r>
      <w:r>
        <w:rPr>
          <w:rFonts w:hint="default" w:ascii="Times New Roman" w:hAnsi="Times New Roman" w:eastAsia="仿宋_GB2312" w:cs="Times New Roman"/>
          <w:b w:val="0"/>
          <w:bCs w:val="0"/>
          <w:color w:val="auto"/>
          <w:sz w:val="32"/>
          <w:szCs w:val="32"/>
          <w:highlight w:val="none"/>
          <w:lang w:val="en-US" w:eastAsia="zh-CN"/>
        </w:rPr>
        <w:t>。</w:t>
      </w:r>
    </w:p>
    <w:p w14:paraId="1D2D5372">
      <w:pPr>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lang w:val="en-US" w:eastAsia="zh-CN"/>
        </w:rPr>
        <w:t>2.防范生态环境风险，主要包括：生态环境部门</w:t>
      </w:r>
      <w:r>
        <w:rPr>
          <w:rFonts w:hint="default" w:ascii="Times New Roman" w:hAnsi="Times New Roman" w:eastAsia="仿宋_GB2312"/>
          <w:color w:val="auto"/>
          <w:sz w:val="32"/>
          <w:szCs w:val="32"/>
          <w:highlight w:val="none"/>
          <w:lang w:eastAsia="zh-CN"/>
        </w:rPr>
        <w:t>防范</w:t>
      </w:r>
      <w:r>
        <w:rPr>
          <w:rFonts w:hint="default" w:ascii="Times New Roman" w:hAnsi="Times New Roman" w:eastAsia="仿宋_GB2312" w:cs="Times New Roman"/>
          <w:b w:val="0"/>
          <w:bCs w:val="0"/>
          <w:color w:val="auto"/>
          <w:sz w:val="32"/>
          <w:szCs w:val="32"/>
          <w:highlight w:val="none"/>
          <w:lang w:val="en-US" w:eastAsia="zh-CN"/>
        </w:rPr>
        <w:t>企业</w:t>
      </w:r>
      <w:r>
        <w:rPr>
          <w:rFonts w:hint="default" w:ascii="Times New Roman" w:hAnsi="Times New Roman" w:eastAsia="仿宋_GB2312"/>
          <w:color w:val="auto"/>
          <w:sz w:val="32"/>
          <w:szCs w:val="32"/>
          <w:highlight w:val="none"/>
        </w:rPr>
        <w:t>通过保税维修方式开展报废、拆解</w:t>
      </w:r>
      <w:r>
        <w:rPr>
          <w:rFonts w:hint="default" w:ascii="Times New Roman" w:hAnsi="Times New Roman" w:eastAsia="仿宋_GB2312"/>
          <w:color w:val="auto"/>
          <w:sz w:val="32"/>
          <w:szCs w:val="32"/>
          <w:highlight w:val="none"/>
          <w:lang w:eastAsia="zh-CN"/>
        </w:rPr>
        <w:t>、</w:t>
      </w:r>
      <w:r>
        <w:rPr>
          <w:rFonts w:hint="default" w:ascii="Times New Roman" w:hAnsi="Times New Roman" w:eastAsia="仿宋_GB2312"/>
          <w:color w:val="auto"/>
          <w:sz w:val="32"/>
          <w:szCs w:val="32"/>
          <w:highlight w:val="none"/>
        </w:rPr>
        <w:t>进口固废等</w:t>
      </w:r>
      <w:r>
        <w:rPr>
          <w:rFonts w:hint="default" w:ascii="Times New Roman" w:hAnsi="Times New Roman" w:eastAsia="仿宋_GB2312"/>
          <w:color w:val="auto"/>
          <w:sz w:val="32"/>
          <w:szCs w:val="32"/>
          <w:highlight w:val="none"/>
          <w:lang w:eastAsia="zh-CN"/>
        </w:rPr>
        <w:t>违法行为的具体监管方案等。</w:t>
      </w:r>
    </w:p>
    <w:p w14:paraId="40EBBD5B">
      <w:pPr>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lang w:val="en-US" w:eastAsia="zh-CN"/>
        </w:rPr>
        <w:t>3.地方生态环境部门对项目的明确支持意见（出具正式文件）。</w:t>
      </w:r>
    </w:p>
    <w:p w14:paraId="2552E4A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3" w:firstLineChars="200"/>
        <w:jc w:val="both"/>
        <w:textAlignment w:val="auto"/>
        <w:outlineLvl w:val="9"/>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w:t>
      </w:r>
      <w:r>
        <w:rPr>
          <w:rFonts w:hint="eastAsia" w:ascii="Times New Roman" w:hAnsi="Times New Roman" w:eastAsia="楷体_GB2312" w:cs="Times New Roman"/>
          <w:b/>
          <w:bCs/>
          <w:color w:val="auto"/>
          <w:sz w:val="32"/>
          <w:szCs w:val="32"/>
          <w:highlight w:val="none"/>
          <w:lang w:val="en-US" w:eastAsia="zh-CN"/>
        </w:rPr>
        <w:t>四</w:t>
      </w:r>
      <w:r>
        <w:rPr>
          <w:rFonts w:hint="default" w:ascii="Times New Roman" w:hAnsi="Times New Roman" w:eastAsia="楷体_GB2312" w:cs="Times New Roman"/>
          <w:b/>
          <w:bCs/>
          <w:color w:val="auto"/>
          <w:sz w:val="32"/>
          <w:szCs w:val="32"/>
          <w:highlight w:val="none"/>
          <w:lang w:val="en-US" w:eastAsia="zh-CN"/>
        </w:rPr>
        <w:t>）</w:t>
      </w:r>
      <w:r>
        <w:rPr>
          <w:rFonts w:hint="default" w:ascii="Times New Roman" w:hAnsi="Times New Roman" w:eastAsia="楷体_GB2312" w:cs="Times New Roman"/>
          <w:b/>
          <w:bCs/>
          <w:color w:val="auto"/>
          <w:sz w:val="32"/>
          <w:szCs w:val="32"/>
          <w:highlight w:val="none"/>
        </w:rPr>
        <w:t>海关监管方案</w:t>
      </w:r>
      <w:r>
        <w:rPr>
          <w:rFonts w:hint="default" w:ascii="Times New Roman" w:hAnsi="Times New Roman" w:eastAsia="楷体_GB2312" w:cs="Times New Roman"/>
          <w:b/>
          <w:bCs/>
          <w:color w:val="auto"/>
          <w:sz w:val="32"/>
          <w:szCs w:val="32"/>
          <w:highlight w:val="none"/>
          <w:lang w:val="en-US" w:eastAsia="zh-CN"/>
        </w:rPr>
        <w:t>。</w:t>
      </w:r>
    </w:p>
    <w:p w14:paraId="056A2A7C">
      <w:pPr>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lang w:val="en-US" w:eastAsia="zh-CN"/>
        </w:rPr>
        <w:t>1.账册管理</w:t>
      </w:r>
      <w:r>
        <w:rPr>
          <w:rFonts w:hint="default" w:ascii="Times New Roman" w:hAnsi="Times New Roman" w:eastAsia="仿宋_GB2312" w:cs="Times New Roman"/>
          <w:color w:val="auto"/>
          <w:sz w:val="32"/>
          <w:szCs w:val="32"/>
          <w:highlight w:val="none"/>
          <w:lang w:eastAsia="zh-CN"/>
        </w:rPr>
        <w:t>，主要包括：</w:t>
      </w:r>
      <w:r>
        <w:rPr>
          <w:rFonts w:hint="eastAsia" w:ascii="Times New Roman" w:hAnsi="Times New Roman" w:eastAsia="仿宋_GB2312" w:cs="Times New Roman"/>
          <w:color w:val="auto"/>
          <w:sz w:val="32"/>
          <w:szCs w:val="32"/>
          <w:highlight w:val="none"/>
          <w:lang w:eastAsia="zh-CN"/>
        </w:rPr>
        <w:t>主管</w:t>
      </w:r>
      <w:r>
        <w:rPr>
          <w:rFonts w:hint="default" w:ascii="Times New Roman" w:hAnsi="Times New Roman" w:eastAsia="仿宋_GB2312" w:cs="Times New Roman"/>
          <w:color w:val="auto"/>
          <w:sz w:val="32"/>
          <w:szCs w:val="32"/>
          <w:highlight w:val="none"/>
          <w:lang w:eastAsia="zh-CN"/>
        </w:rPr>
        <w:t>海关对维修项目设立专用账册，确定核销周期，</w:t>
      </w:r>
      <w:r>
        <w:rPr>
          <w:rFonts w:hint="eastAsia" w:ascii="Times New Roman" w:hAnsi="Times New Roman" w:eastAsia="仿宋_GB2312" w:cs="Times New Roman"/>
          <w:color w:val="auto"/>
          <w:sz w:val="32"/>
          <w:szCs w:val="32"/>
          <w:highlight w:val="none"/>
          <w:lang w:eastAsia="zh-CN"/>
        </w:rPr>
        <w:t>开展账册核销等监管工作</w:t>
      </w:r>
      <w:r>
        <w:rPr>
          <w:rFonts w:hint="default" w:ascii="Times New Roman" w:hAnsi="Times New Roman" w:eastAsia="仿宋_GB2312" w:cs="Times New Roman"/>
          <w:b w:val="0"/>
          <w:bCs w:val="0"/>
          <w:color w:val="auto"/>
          <w:sz w:val="32"/>
          <w:szCs w:val="32"/>
          <w:highlight w:val="none"/>
          <w:lang w:val="en-US" w:eastAsia="zh-CN"/>
        </w:rPr>
        <w:t>。</w:t>
      </w:r>
    </w:p>
    <w:p w14:paraId="6D9760C6">
      <w:pPr>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lang w:val="en-US" w:eastAsia="zh-CN"/>
        </w:rPr>
        <w:t>2.货物及料件管理</w:t>
      </w:r>
      <w:r>
        <w:rPr>
          <w:rFonts w:hint="default" w:ascii="Times New Roman" w:hAnsi="Times New Roman" w:eastAsia="仿宋_GB2312" w:cs="Times New Roman"/>
          <w:color w:val="auto"/>
          <w:sz w:val="32"/>
          <w:szCs w:val="32"/>
          <w:highlight w:val="none"/>
          <w:lang w:eastAsia="zh-CN"/>
        </w:rPr>
        <w:t>，主要包括：货物及料件（</w:t>
      </w:r>
      <w:r>
        <w:rPr>
          <w:rFonts w:hint="default" w:ascii="Times New Roman" w:hAnsi="Times New Roman" w:eastAsia="仿宋_GB2312" w:cs="Times New Roman"/>
          <w:color w:val="auto"/>
          <w:sz w:val="32"/>
          <w:szCs w:val="32"/>
          <w:highlight w:val="none"/>
        </w:rPr>
        <w:t>待维修货物、已维修货物、无法维修货物</w:t>
      </w:r>
      <w:r>
        <w:rPr>
          <w:rFonts w:hint="eastAsia" w:ascii="Times New Roman" w:hAnsi="Times New Roman" w:eastAsia="仿宋_GB2312" w:cs="Times New Roman"/>
          <w:color w:val="auto"/>
          <w:sz w:val="32"/>
          <w:szCs w:val="32"/>
          <w:highlight w:val="none"/>
          <w:lang w:eastAsia="zh-CN"/>
        </w:rPr>
        <w:t>、维修用料件</w:t>
      </w:r>
      <w:r>
        <w:rPr>
          <w:rFonts w:hint="default" w:ascii="Times New Roman" w:hAnsi="Times New Roman" w:eastAsia="仿宋_GB2312" w:cs="Times New Roman"/>
          <w:color w:val="auto"/>
          <w:sz w:val="32"/>
          <w:szCs w:val="32"/>
          <w:highlight w:val="none"/>
          <w:lang w:eastAsia="zh-CN"/>
        </w:rPr>
        <w:t>、维修产生的边角料、</w:t>
      </w:r>
      <w:r>
        <w:rPr>
          <w:rFonts w:hint="eastAsia" w:ascii="Times New Roman" w:hAnsi="Times New Roman" w:eastAsia="仿宋_GB2312" w:cs="Times New Roman"/>
          <w:color w:val="auto"/>
          <w:sz w:val="32"/>
          <w:szCs w:val="32"/>
          <w:highlight w:val="none"/>
          <w:lang w:eastAsia="zh-CN"/>
        </w:rPr>
        <w:t>旧件、坏件</w:t>
      </w:r>
      <w:r>
        <w:rPr>
          <w:rFonts w:hint="default" w:ascii="Times New Roman" w:hAnsi="Times New Roman" w:eastAsia="仿宋_GB2312" w:cs="Times New Roman"/>
          <w:color w:val="auto"/>
          <w:sz w:val="32"/>
          <w:szCs w:val="32"/>
          <w:highlight w:val="none"/>
        </w:rPr>
        <w:t>等</w:t>
      </w:r>
      <w:r>
        <w:rPr>
          <w:rFonts w:hint="default" w:ascii="Times New Roman" w:hAnsi="Times New Roman" w:eastAsia="仿宋_GB2312" w:cs="Times New Roman"/>
          <w:color w:val="auto"/>
          <w:sz w:val="32"/>
          <w:szCs w:val="32"/>
          <w:highlight w:val="none"/>
          <w:lang w:eastAsia="zh-CN"/>
        </w:rPr>
        <w:t>）通关申报、监管方式、检验检疫、处置方式、信息化管理等。</w:t>
      </w:r>
    </w:p>
    <w:p w14:paraId="5CE59344">
      <w:pPr>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lang w:val="en-US" w:eastAsia="zh-CN"/>
        </w:rPr>
        <w:t>3.</w:t>
      </w:r>
      <w:r>
        <w:rPr>
          <w:rFonts w:hint="default" w:ascii="Times New Roman" w:hAnsi="Times New Roman" w:eastAsia="仿宋_GB2312" w:cs="Times New Roman"/>
          <w:b w:val="0"/>
          <w:bCs w:val="0"/>
          <w:color w:val="auto"/>
          <w:sz w:val="32"/>
          <w:szCs w:val="32"/>
          <w:highlight w:val="none"/>
          <w:lang w:eastAsia="zh-CN"/>
        </w:rPr>
        <w:t>所在地</w:t>
      </w:r>
      <w:r>
        <w:rPr>
          <w:rFonts w:hint="eastAsia" w:ascii="Times New Roman" w:hAnsi="Times New Roman" w:eastAsia="仿宋_GB2312" w:cs="Times New Roman"/>
          <w:b w:val="0"/>
          <w:bCs w:val="0"/>
          <w:color w:val="auto"/>
          <w:sz w:val="32"/>
          <w:szCs w:val="32"/>
          <w:highlight w:val="none"/>
          <w:lang w:eastAsia="zh-CN"/>
        </w:rPr>
        <w:t>主管</w:t>
      </w:r>
      <w:r>
        <w:rPr>
          <w:rFonts w:hint="default" w:ascii="Times New Roman" w:hAnsi="Times New Roman" w:eastAsia="仿宋_GB2312" w:cs="Times New Roman"/>
          <w:b w:val="0"/>
          <w:bCs w:val="0"/>
          <w:color w:val="auto"/>
          <w:sz w:val="32"/>
          <w:szCs w:val="32"/>
          <w:highlight w:val="none"/>
          <w:lang w:val="en-US" w:eastAsia="zh-CN"/>
        </w:rPr>
        <w:t>海关对该项目的明确支持意见（出具正式文件）。</w:t>
      </w:r>
    </w:p>
    <w:p w14:paraId="22B01082">
      <w:pPr>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3" w:firstLineChars="20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w:t>
      </w:r>
      <w:r>
        <w:rPr>
          <w:rFonts w:hint="eastAsia" w:ascii="Times New Roman" w:hAnsi="Times New Roman" w:eastAsia="楷体_GB2312" w:cs="Times New Roman"/>
          <w:b/>
          <w:bCs/>
          <w:color w:val="auto"/>
          <w:sz w:val="32"/>
          <w:szCs w:val="32"/>
          <w:highlight w:val="none"/>
          <w:lang w:val="en-US" w:eastAsia="zh-CN"/>
        </w:rPr>
        <w:t>五</w:t>
      </w:r>
      <w:r>
        <w:rPr>
          <w:rFonts w:hint="default" w:ascii="Times New Roman" w:hAnsi="Times New Roman" w:eastAsia="楷体_GB2312" w:cs="Times New Roman"/>
          <w:b/>
          <w:bCs/>
          <w:color w:val="auto"/>
          <w:sz w:val="32"/>
          <w:szCs w:val="32"/>
          <w:highlight w:val="none"/>
          <w:lang w:val="en-US" w:eastAsia="zh-CN"/>
        </w:rPr>
        <w:t>）</w:t>
      </w:r>
      <w:r>
        <w:rPr>
          <w:rFonts w:hint="eastAsia" w:ascii="Times New Roman" w:hAnsi="Times New Roman" w:eastAsia="楷体_GB2312" w:cs="Times New Roman"/>
          <w:b/>
          <w:bCs/>
          <w:color w:val="auto"/>
          <w:sz w:val="32"/>
          <w:szCs w:val="32"/>
          <w:highlight w:val="none"/>
          <w:lang w:eastAsia="zh-CN"/>
        </w:rPr>
        <w:t>项目暂停、终止相关条款</w:t>
      </w:r>
      <w:r>
        <w:rPr>
          <w:rFonts w:hint="default" w:ascii="Times New Roman" w:hAnsi="Times New Roman" w:eastAsia="楷体_GB2312" w:cs="Times New Roman"/>
          <w:b/>
          <w:bCs/>
          <w:color w:val="auto"/>
          <w:sz w:val="32"/>
          <w:szCs w:val="32"/>
          <w:highlight w:val="none"/>
          <w:lang w:val="en-US" w:eastAsia="zh-CN"/>
        </w:rPr>
        <w:t>。</w:t>
      </w:r>
    </w:p>
    <w:p w14:paraId="385EC248">
      <w:pPr>
        <w:pageBreakBefore w:val="0"/>
        <w:widowControl w:val="0"/>
        <w:numPr>
          <w:ilvl w:val="0"/>
          <w:numId w:val="0"/>
        </w:numPr>
        <w:kinsoku/>
        <w:wordWrap/>
        <w:overflowPunct/>
        <w:topLinePunct w:val="0"/>
        <w:autoSpaceDE/>
        <w:autoSpaceDN/>
        <w:bidi w:val="0"/>
        <w:adjustRightInd/>
        <w:snapToGrid/>
        <w:spacing w:line="240" w:lineRule="auto"/>
        <w:ind w:firstLine="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 xml:space="preserve">    1.暂停业务条款。</w:t>
      </w:r>
      <w:r>
        <w:rPr>
          <w:rFonts w:hint="eastAsia" w:ascii="Times New Roman" w:hAnsi="Times New Roman" w:eastAsia="仿宋_GB2312" w:cs="Times New Roman"/>
          <w:color w:val="auto"/>
          <w:sz w:val="32"/>
          <w:szCs w:val="32"/>
          <w:highlight w:val="none"/>
          <w:lang w:eastAsia="zh-CN"/>
        </w:rPr>
        <w:t>企业出现下列情形的，应当及时向商务、生态环境、海关等有关部门报告，有关部门接到报告或发现下列情形应当要求企业及时整改，并互相通报情况。整改期内，暂停保税维修业务。主要包括：不符合海关总署公告</w:t>
      </w:r>
      <w:r>
        <w:rPr>
          <w:rFonts w:hint="eastAsia" w:ascii="Times New Roman" w:hAnsi="Times New Roman" w:eastAsia="仿宋_GB2312" w:cs="Times New Roman"/>
          <w:color w:val="auto"/>
          <w:sz w:val="32"/>
          <w:szCs w:val="32"/>
          <w:highlight w:val="none"/>
          <w:lang w:val="en-US" w:eastAsia="zh-CN"/>
        </w:rPr>
        <w:t>2018年第203号等文件所规定开展条件的；擅自开展支持范围以外产品保税维修业务的；未能将保税维修有关货物、料件、维修替换下旧件、坏件、维修</w:t>
      </w:r>
      <w:r>
        <w:rPr>
          <w:rFonts w:hint="eastAsia" w:ascii="Times New Roman" w:hAnsi="Times New Roman" w:eastAsia="仿宋_GB2312" w:cs="Times New Roman"/>
          <w:color w:val="auto"/>
          <w:sz w:val="32"/>
          <w:szCs w:val="32"/>
          <w:highlight w:val="none"/>
          <w:lang w:eastAsia="zh-CN"/>
        </w:rPr>
        <w:t>过程</w:t>
      </w:r>
      <w:r>
        <w:rPr>
          <w:rFonts w:hint="eastAsia" w:ascii="Times New Roman" w:hAnsi="Times New Roman" w:eastAsia="仿宋_GB2312" w:cs="Times New Roman"/>
          <w:color w:val="auto"/>
          <w:sz w:val="32"/>
          <w:szCs w:val="32"/>
          <w:highlight w:val="none"/>
          <w:lang w:val="en-US" w:eastAsia="zh-CN"/>
        </w:rPr>
        <w:t>中产生的保税边角料等按规定进行处置的；</w:t>
      </w:r>
      <w:r>
        <w:rPr>
          <w:rFonts w:hint="eastAsia" w:ascii="Times New Roman" w:hAnsi="Times New Roman" w:eastAsia="仿宋_GB2312" w:cs="Times New Roman"/>
          <w:color w:val="auto"/>
          <w:sz w:val="32"/>
          <w:szCs w:val="32"/>
          <w:highlight w:val="none"/>
          <w:lang w:eastAsia="zh-CN"/>
        </w:rPr>
        <w:t>在保税维修过程中违反国家固体废物管理规定的，擅自处理维修过程中所产生的固体废弃物的；违反相关规定，有关部门认为需要整改的其他情形。企业完成整改，并将整改结果报相应主管部门认可后，方可继续开展保税维修业务。</w:t>
      </w:r>
    </w:p>
    <w:p w14:paraId="79CE74C0">
      <w:pPr>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2.终止业务条款。</w:t>
      </w:r>
      <w:r>
        <w:rPr>
          <w:rFonts w:hint="eastAsia" w:ascii="Times New Roman" w:hAnsi="Times New Roman" w:eastAsia="仿宋_GB2312" w:cs="Times New Roman"/>
          <w:color w:val="auto"/>
          <w:sz w:val="32"/>
          <w:szCs w:val="32"/>
          <w:highlight w:val="none"/>
          <w:lang w:eastAsia="zh-CN"/>
        </w:rPr>
        <w:t>企业出现下列情形的，应当及时向商务、生态环境、海关等有关部门报告，有关部门接到报告或发现下列情形应当暂停保税维修业务，并互相通报情况，由企业项目所在区域的</w:t>
      </w:r>
      <w:r>
        <w:rPr>
          <w:rFonts w:hint="default" w:ascii="Times New Roman" w:hAnsi="Times New Roman" w:eastAsia="仿宋_GB2312"/>
          <w:sz w:val="32"/>
          <w:szCs w:val="32"/>
          <w:lang w:eastAsia="zh-CN"/>
        </w:rPr>
        <w:t>保税维修牵头单位</w:t>
      </w:r>
      <w:r>
        <w:rPr>
          <w:rFonts w:hint="eastAsia" w:ascii="Times New Roman" w:hAnsi="Times New Roman" w:eastAsia="仿宋_GB2312" w:cs="Times New Roman"/>
          <w:color w:val="auto"/>
          <w:sz w:val="32"/>
          <w:szCs w:val="32"/>
          <w:highlight w:val="none"/>
          <w:lang w:eastAsia="zh-CN"/>
        </w:rPr>
        <w:t>牵头研究终止保税维修业务。已进口的保税维修货物按照相关规定进行处置。主要包括：</w:t>
      </w:r>
      <w:r>
        <w:rPr>
          <w:rFonts w:hint="eastAsia" w:ascii="Times New Roman" w:hAnsi="Times New Roman" w:eastAsia="仿宋_GB2312" w:cs="Times New Roman"/>
          <w:color w:val="auto"/>
          <w:sz w:val="32"/>
          <w:szCs w:val="32"/>
          <w:highlight w:val="none"/>
          <w:lang w:val="en-US" w:eastAsia="zh-CN"/>
        </w:rPr>
        <w:t>企业倒闭或破产，或被政府主管部门撤销经营资格的；海关认定的企业信用状况被降为失信企业的；保税维修货物在境内被转让或移作他用的；整改期满仍不能按照要求对保税维修货物进行管理的；有关部门认为需要终止保税维修业务的其他情形。</w:t>
      </w:r>
    </w:p>
    <w:p w14:paraId="30FE415B">
      <w:pPr>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 xml:space="preserve">    四、</w:t>
      </w:r>
      <w:r>
        <w:rPr>
          <w:rFonts w:hint="default" w:ascii="Times New Roman" w:hAnsi="Times New Roman" w:eastAsia="黑体" w:cs="Times New Roman"/>
          <w:color w:val="auto"/>
          <w:sz w:val="32"/>
          <w:szCs w:val="32"/>
          <w:highlight w:val="none"/>
          <w:lang w:val="en-US" w:eastAsia="zh-CN"/>
        </w:rPr>
        <w:t>申报办理程序</w:t>
      </w:r>
    </w:p>
    <w:p w14:paraId="19BD0255">
      <w:pPr>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楷体_GB2312" w:cs="Times New Roman"/>
          <w:b/>
          <w:bCs/>
          <w:color w:val="auto"/>
          <w:sz w:val="32"/>
          <w:szCs w:val="32"/>
          <w:highlight w:val="none"/>
          <w:lang w:val="en-US" w:eastAsia="zh-CN"/>
        </w:rPr>
        <w:t xml:space="preserve">    （一）</w:t>
      </w:r>
      <w:r>
        <w:rPr>
          <w:rFonts w:hint="default" w:ascii="Times New Roman" w:hAnsi="Times New Roman" w:eastAsia="楷体_GB2312" w:cs="Times New Roman"/>
          <w:b/>
          <w:bCs/>
          <w:color w:val="auto"/>
          <w:sz w:val="32"/>
          <w:szCs w:val="32"/>
          <w:highlight w:val="none"/>
          <w:lang w:eastAsia="zh-CN"/>
        </w:rPr>
        <w:t>综保区管委会（或地方</w:t>
      </w:r>
      <w:r>
        <w:rPr>
          <w:rFonts w:hint="eastAsia" w:ascii="Times New Roman" w:hAnsi="Times New Roman" w:eastAsia="楷体_GB2312" w:cs="Times New Roman"/>
          <w:b/>
          <w:bCs/>
          <w:color w:val="auto"/>
          <w:sz w:val="32"/>
          <w:szCs w:val="32"/>
          <w:highlight w:val="none"/>
          <w:lang w:eastAsia="zh-CN"/>
        </w:rPr>
        <w:t>人民</w:t>
      </w:r>
      <w:r>
        <w:rPr>
          <w:rFonts w:hint="default" w:ascii="Times New Roman" w:hAnsi="Times New Roman" w:eastAsia="楷体_GB2312" w:cs="Times New Roman"/>
          <w:b/>
          <w:bCs/>
          <w:color w:val="auto"/>
          <w:sz w:val="32"/>
          <w:szCs w:val="32"/>
          <w:highlight w:val="none"/>
          <w:lang w:eastAsia="zh-CN"/>
        </w:rPr>
        <w:t>政府派驻行政管理机构）自主评估支持项目。</w:t>
      </w:r>
      <w:r>
        <w:rPr>
          <w:rFonts w:hint="eastAsia" w:ascii="Times New Roman" w:hAnsi="Times New Roman" w:eastAsia="仿宋_GB2312" w:cs="Times New Roman"/>
          <w:strike w:val="0"/>
          <w:color w:val="auto"/>
          <w:sz w:val="32"/>
          <w:szCs w:val="32"/>
          <w:lang w:val="en-US" w:eastAsia="zh-CN"/>
        </w:rPr>
        <w:t>根据</w:t>
      </w:r>
      <w:r>
        <w:rPr>
          <w:rFonts w:hint="eastAsia" w:ascii="Times New Roman" w:hAnsi="Times New Roman" w:eastAsia="仿宋_GB2312" w:cs="Times New Roman"/>
          <w:color w:val="auto"/>
          <w:sz w:val="32"/>
          <w:szCs w:val="32"/>
          <w:lang w:eastAsia="zh-CN"/>
        </w:rPr>
        <w:t>商务部、生态环境部、海关总署公告</w:t>
      </w:r>
      <w:r>
        <w:rPr>
          <w:rFonts w:hint="eastAsia" w:ascii="Times New Roman" w:hAnsi="Times New Roman" w:eastAsia="仿宋_GB2312" w:cs="Times New Roman"/>
          <w:color w:val="auto"/>
          <w:sz w:val="32"/>
          <w:szCs w:val="32"/>
          <w:lang w:val="en-US" w:eastAsia="zh-CN"/>
        </w:rPr>
        <w:t>2020年第16号</w:t>
      </w:r>
      <w:r>
        <w:rPr>
          <w:rFonts w:hint="eastAsia" w:ascii="Times New Roman" w:hAnsi="Times New Roman" w:eastAsia="仿宋_GB2312" w:cs="Times New Roman"/>
          <w:color w:val="auto"/>
          <w:sz w:val="32"/>
          <w:szCs w:val="32"/>
          <w:lang w:eastAsia="zh-CN"/>
        </w:rPr>
        <w:t>（《关于支持综合保税区内企业开展维修业务的公告》）</w:t>
      </w:r>
      <w:r>
        <w:rPr>
          <w:rFonts w:hint="eastAsia" w:ascii="Times New Roman" w:hAnsi="Times New Roman" w:eastAsia="仿宋_GB2312" w:cs="Times New Roman"/>
          <w:color w:val="auto"/>
          <w:sz w:val="32"/>
          <w:szCs w:val="32"/>
          <w:lang w:val="en-US" w:eastAsia="zh-CN"/>
        </w:rPr>
        <w:t>等</w:t>
      </w:r>
      <w:r>
        <w:rPr>
          <w:rFonts w:hint="eastAsia" w:ascii="Times New Roman" w:hAnsi="Times New Roman" w:eastAsia="仿宋_GB2312" w:cs="Times New Roman"/>
          <w:color w:val="auto"/>
          <w:sz w:val="32"/>
          <w:szCs w:val="32"/>
          <w:lang w:eastAsia="zh-CN"/>
        </w:rPr>
        <w:t>文件要求</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eastAsia="zh-CN"/>
        </w:rPr>
        <w:t>综保区内企业拟开展目录内产品维修业务，应按要求</w:t>
      </w:r>
      <w:r>
        <w:rPr>
          <w:rFonts w:hint="default" w:ascii="Times New Roman" w:hAnsi="Times New Roman" w:eastAsia="仿宋_GB2312" w:cs="Times New Roman"/>
          <w:color w:val="auto"/>
          <w:sz w:val="32"/>
          <w:szCs w:val="32"/>
          <w:highlight w:val="none"/>
          <w:lang w:eastAsia="zh-CN"/>
        </w:rPr>
        <w:t>提交项目申报文件。综保区管委会（或地方</w:t>
      </w:r>
      <w:r>
        <w:rPr>
          <w:rFonts w:hint="eastAsia" w:ascii="Times New Roman" w:hAnsi="Times New Roman" w:eastAsia="仿宋_GB2312" w:cs="Times New Roman"/>
          <w:color w:val="auto"/>
          <w:sz w:val="32"/>
          <w:szCs w:val="32"/>
          <w:highlight w:val="none"/>
          <w:lang w:eastAsia="zh-CN"/>
        </w:rPr>
        <w:t>人民</w:t>
      </w:r>
      <w:r>
        <w:rPr>
          <w:rFonts w:hint="default" w:ascii="Times New Roman" w:hAnsi="Times New Roman" w:eastAsia="仿宋_GB2312" w:cs="Times New Roman"/>
          <w:color w:val="auto"/>
          <w:sz w:val="32"/>
          <w:szCs w:val="32"/>
          <w:highlight w:val="none"/>
          <w:lang w:eastAsia="zh-CN"/>
        </w:rPr>
        <w:t>政府派驻行政管理机构）受理企业申请后，会同商务、生态</w:t>
      </w:r>
      <w:r>
        <w:rPr>
          <w:rFonts w:hint="eastAsia" w:ascii="Times New Roman" w:hAnsi="Times New Roman" w:eastAsia="仿宋_GB2312" w:cs="Times New Roman"/>
          <w:color w:val="auto"/>
          <w:sz w:val="32"/>
          <w:szCs w:val="32"/>
          <w:highlight w:val="none"/>
          <w:lang w:eastAsia="zh-CN"/>
        </w:rPr>
        <w:t>环境</w:t>
      </w:r>
      <w:r>
        <w:rPr>
          <w:rFonts w:hint="default" w:ascii="Times New Roman" w:hAnsi="Times New Roman" w:eastAsia="仿宋_GB2312" w:cs="Times New Roman"/>
          <w:color w:val="auto"/>
          <w:sz w:val="32"/>
          <w:szCs w:val="32"/>
          <w:highlight w:val="none"/>
          <w:lang w:eastAsia="zh-CN"/>
        </w:rPr>
        <w:t>、海关等部门评估论证，决定支持后，下达项目同意支持文件，抄报省级商务、生态</w:t>
      </w:r>
      <w:r>
        <w:rPr>
          <w:rFonts w:hint="eastAsia" w:ascii="Times New Roman" w:hAnsi="Times New Roman" w:eastAsia="仿宋_GB2312" w:cs="Times New Roman"/>
          <w:color w:val="auto"/>
          <w:sz w:val="32"/>
          <w:szCs w:val="32"/>
          <w:highlight w:val="none"/>
          <w:lang w:eastAsia="zh-CN"/>
        </w:rPr>
        <w:t>环境</w:t>
      </w:r>
      <w:r>
        <w:rPr>
          <w:rFonts w:hint="default" w:ascii="Times New Roman" w:hAnsi="Times New Roman" w:eastAsia="仿宋_GB2312" w:cs="Times New Roman"/>
          <w:color w:val="auto"/>
          <w:sz w:val="32"/>
          <w:szCs w:val="32"/>
          <w:highlight w:val="none"/>
          <w:lang w:eastAsia="zh-CN"/>
        </w:rPr>
        <w:t>、海关等部门</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制定综合监管方案，明确职责分工，切实履行全链条监管职责，</w:t>
      </w:r>
      <w:r>
        <w:rPr>
          <w:rFonts w:hint="eastAsia" w:ascii="Times New Roman" w:hAnsi="Times New Roman" w:eastAsia="仿宋_GB2312" w:cs="Times New Roman"/>
          <w:color w:val="auto"/>
          <w:sz w:val="32"/>
          <w:szCs w:val="32"/>
          <w:highlight w:val="none"/>
          <w:lang w:eastAsia="zh-CN"/>
        </w:rPr>
        <w:t>依法承担相关</w:t>
      </w:r>
      <w:r>
        <w:rPr>
          <w:rFonts w:hint="default" w:ascii="Times New Roman" w:hAnsi="Times New Roman" w:eastAsia="仿宋_GB2312" w:cs="Times New Roman"/>
          <w:color w:val="auto"/>
          <w:sz w:val="32"/>
          <w:szCs w:val="32"/>
          <w:highlight w:val="none"/>
          <w:lang w:eastAsia="zh-CN"/>
        </w:rPr>
        <w:t>监管主体责任</w:t>
      </w:r>
      <w:r>
        <w:rPr>
          <w:rFonts w:hint="eastAsia" w:ascii="Times New Roman" w:hAnsi="Times New Roman" w:eastAsia="仿宋_GB2312" w:cs="Times New Roman"/>
          <w:color w:val="auto"/>
          <w:sz w:val="32"/>
          <w:szCs w:val="32"/>
          <w:highlight w:val="none"/>
          <w:lang w:eastAsia="zh-CN"/>
        </w:rPr>
        <w:t>（其他要求请参照已发布的综保区保税维修相关管理规定执行）</w:t>
      </w:r>
      <w:r>
        <w:rPr>
          <w:rFonts w:hint="default" w:ascii="Times New Roman" w:hAnsi="Times New Roman" w:eastAsia="仿宋_GB2312" w:cs="Times New Roman"/>
          <w:color w:val="auto"/>
          <w:sz w:val="32"/>
          <w:szCs w:val="32"/>
          <w:highlight w:val="none"/>
          <w:lang w:eastAsia="zh-CN"/>
        </w:rPr>
        <w:t>。</w:t>
      </w:r>
    </w:p>
    <w:p w14:paraId="4DC68399">
      <w:pPr>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楷体_GB2312" w:cs="Times New Roman"/>
          <w:b/>
          <w:bCs/>
          <w:color w:val="auto"/>
          <w:sz w:val="32"/>
          <w:szCs w:val="32"/>
          <w:highlight w:val="none"/>
          <w:lang w:val="en-US" w:eastAsia="zh-CN"/>
        </w:rPr>
        <w:t xml:space="preserve">    （二）</w:t>
      </w:r>
      <w:r>
        <w:rPr>
          <w:rFonts w:hint="default" w:ascii="Times New Roman" w:hAnsi="Times New Roman" w:eastAsia="楷体_GB2312" w:cs="Times New Roman"/>
          <w:b/>
          <w:bCs/>
          <w:color w:val="auto"/>
          <w:sz w:val="32"/>
          <w:szCs w:val="32"/>
          <w:highlight w:val="none"/>
          <w:lang w:eastAsia="zh-CN"/>
        </w:rPr>
        <w:t>省级人民政府自主评估支持项目。</w:t>
      </w:r>
      <w:r>
        <w:rPr>
          <w:rFonts w:hint="eastAsia" w:ascii="Times New Roman" w:hAnsi="Times New Roman" w:eastAsia="仿宋_GB2312" w:cs="Times New Roman"/>
          <w:b w:val="0"/>
          <w:bCs w:val="0"/>
          <w:sz w:val="32"/>
          <w:szCs w:val="32"/>
          <w:lang w:eastAsia="zh-CN"/>
        </w:rPr>
        <w:t>根据</w:t>
      </w:r>
      <w:r>
        <w:rPr>
          <w:rFonts w:hint="default" w:ascii="Times New Roman" w:hAnsi="Times New Roman" w:eastAsia="仿宋_GB2312" w:cs="Times New Roman"/>
          <w:color w:val="auto"/>
          <w:sz w:val="32"/>
          <w:szCs w:val="32"/>
          <w:highlight w:val="none"/>
        </w:rPr>
        <w:t>国发〔2021〕12号</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lang w:eastAsia="zh-CN"/>
        </w:rPr>
        <w:t>商贸发〔2023〕308号等文件精神，</w:t>
      </w:r>
      <w:r>
        <w:rPr>
          <w:rFonts w:hint="default" w:ascii="Times New Roman" w:hAnsi="Times New Roman" w:eastAsia="仿宋_GB2312" w:cs="Times New Roman"/>
          <w:color w:val="auto"/>
          <w:sz w:val="32"/>
          <w:szCs w:val="32"/>
          <w:highlight w:val="none"/>
          <w:lang w:val="en-US" w:eastAsia="zh-CN"/>
        </w:rPr>
        <w:t>自贸试验区</w:t>
      </w:r>
      <w:r>
        <w:rPr>
          <w:rFonts w:hint="eastAsia" w:ascii="Times New Roman" w:hAnsi="Times New Roman" w:eastAsia="仿宋_GB2312" w:cs="Times New Roman"/>
          <w:color w:val="auto"/>
          <w:sz w:val="32"/>
          <w:szCs w:val="32"/>
          <w:highlight w:val="none"/>
          <w:lang w:val="en-US" w:eastAsia="zh-CN"/>
        </w:rPr>
        <w:t>内企业</w:t>
      </w:r>
      <w:r>
        <w:rPr>
          <w:rFonts w:hint="default"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lang w:val="en" w:eastAsia="zh-CN"/>
        </w:rPr>
        <w:t>苏州市、东莞市、天津市滨海新区</w:t>
      </w:r>
      <w:r>
        <w:rPr>
          <w:rFonts w:hint="default" w:ascii="Times New Roman" w:hAnsi="Times New Roman" w:eastAsia="仿宋_GB2312" w:cs="Times New Roman"/>
          <w:color w:val="auto"/>
          <w:sz w:val="32"/>
          <w:szCs w:val="32"/>
          <w:highlight w:val="none"/>
          <w:lang w:eastAsia="zh-CN"/>
        </w:rPr>
        <w:t>内</w:t>
      </w:r>
      <w:r>
        <w:rPr>
          <w:rFonts w:hint="default" w:ascii="Times New Roman" w:hAnsi="Times New Roman" w:eastAsia="仿宋_GB2312" w:cs="Times New Roman"/>
          <w:color w:val="auto"/>
          <w:sz w:val="32"/>
          <w:szCs w:val="32"/>
          <w:highlight w:val="none"/>
          <w:lang w:val="en-US" w:eastAsia="zh-CN"/>
        </w:rPr>
        <w:t>企业</w:t>
      </w:r>
      <w:r>
        <w:rPr>
          <w:rFonts w:hint="default" w:ascii="Times New Roman" w:hAnsi="Times New Roman" w:eastAsia="仿宋_GB2312" w:cs="Times New Roman"/>
          <w:b w:val="0"/>
          <w:bCs w:val="0"/>
          <w:color w:val="auto"/>
          <w:sz w:val="32"/>
          <w:szCs w:val="32"/>
          <w:highlight w:val="none"/>
          <w:lang w:eastAsia="zh-CN"/>
        </w:rPr>
        <w:t>拟开展</w:t>
      </w:r>
      <w:r>
        <w:rPr>
          <w:rFonts w:hint="eastAsia" w:ascii="Times New Roman" w:hAnsi="Times New Roman" w:eastAsia="仿宋_GB2312" w:cs="Times New Roman"/>
          <w:b w:val="0"/>
          <w:bCs w:val="0"/>
          <w:color w:val="auto"/>
          <w:sz w:val="32"/>
          <w:szCs w:val="32"/>
          <w:highlight w:val="none"/>
          <w:lang w:eastAsia="zh-CN"/>
        </w:rPr>
        <w:t>目录内</w:t>
      </w:r>
      <w:r>
        <w:rPr>
          <w:rFonts w:hint="default" w:ascii="Times New Roman" w:hAnsi="Times New Roman" w:eastAsia="仿宋_GB2312" w:cs="Times New Roman"/>
          <w:b w:val="0"/>
          <w:bCs w:val="0"/>
          <w:color w:val="auto"/>
          <w:sz w:val="32"/>
          <w:szCs w:val="32"/>
          <w:highlight w:val="none"/>
          <w:lang w:eastAsia="zh-CN"/>
        </w:rPr>
        <w:t>产品保税维修业务，应按要求</w:t>
      </w:r>
      <w:r>
        <w:rPr>
          <w:rFonts w:hint="default" w:ascii="Times New Roman" w:hAnsi="Times New Roman" w:eastAsia="仿宋_GB2312" w:cs="Times New Roman"/>
          <w:color w:val="auto"/>
          <w:sz w:val="32"/>
          <w:szCs w:val="32"/>
          <w:highlight w:val="none"/>
          <w:lang w:eastAsia="zh-CN"/>
        </w:rPr>
        <w:t>提交项目申报文件，省级商务主管部门</w:t>
      </w:r>
      <w:r>
        <w:rPr>
          <w:rFonts w:hint="eastAsia" w:ascii="Times New Roman" w:hAnsi="Times New Roman" w:eastAsia="仿宋_GB2312" w:cs="Times New Roman"/>
          <w:color w:val="auto"/>
          <w:sz w:val="32"/>
          <w:szCs w:val="32"/>
          <w:highlight w:val="none"/>
          <w:lang w:eastAsia="zh-CN"/>
        </w:rPr>
        <w:t>受理企业</w:t>
      </w:r>
      <w:r>
        <w:rPr>
          <w:rFonts w:hint="default" w:ascii="Times New Roman" w:hAnsi="Times New Roman" w:eastAsia="仿宋_GB2312" w:cs="Times New Roman"/>
          <w:color w:val="auto"/>
          <w:sz w:val="32"/>
          <w:szCs w:val="32"/>
          <w:highlight w:val="none"/>
          <w:lang w:eastAsia="zh-CN"/>
        </w:rPr>
        <w:t>申请后，会同</w:t>
      </w:r>
      <w:r>
        <w:rPr>
          <w:rFonts w:hint="default" w:ascii="Times New Roman" w:hAnsi="Times New Roman" w:eastAsia="仿宋_GB2312" w:cs="Times New Roman"/>
          <w:color w:val="auto"/>
          <w:sz w:val="32"/>
          <w:szCs w:val="32"/>
          <w:highlight w:val="none"/>
        </w:rPr>
        <w:t>生态</w:t>
      </w:r>
      <w:r>
        <w:rPr>
          <w:rFonts w:hint="default" w:ascii="Times New Roman" w:hAnsi="Times New Roman" w:eastAsia="仿宋_GB2312" w:cs="Times New Roman"/>
          <w:color w:val="auto"/>
          <w:sz w:val="32"/>
          <w:szCs w:val="32"/>
          <w:highlight w:val="none"/>
          <w:lang w:eastAsia="zh-CN"/>
        </w:rPr>
        <w:t>环境</w:t>
      </w:r>
      <w:r>
        <w:rPr>
          <w:rFonts w:hint="default" w:ascii="Times New Roman" w:hAnsi="Times New Roman" w:eastAsia="仿宋_GB2312" w:cs="Times New Roman"/>
          <w:color w:val="auto"/>
          <w:sz w:val="32"/>
          <w:szCs w:val="32"/>
          <w:highlight w:val="none"/>
        </w:rPr>
        <w:t>、海关等部门</w:t>
      </w:r>
      <w:r>
        <w:rPr>
          <w:rFonts w:hint="default" w:ascii="Times New Roman" w:hAnsi="Times New Roman" w:eastAsia="仿宋_GB2312" w:cs="Times New Roman"/>
          <w:color w:val="auto"/>
          <w:sz w:val="32"/>
          <w:szCs w:val="32"/>
          <w:highlight w:val="none"/>
          <w:lang w:eastAsia="zh-CN"/>
        </w:rPr>
        <w:t>研究并制定综合监管方案，</w:t>
      </w:r>
      <w:r>
        <w:rPr>
          <w:rFonts w:hint="eastAsia" w:ascii="Times New Roman" w:hAnsi="Times New Roman" w:eastAsia="仿宋_GB2312" w:cs="Times New Roman"/>
          <w:color w:val="auto"/>
          <w:sz w:val="32"/>
          <w:szCs w:val="32"/>
          <w:highlight w:val="none"/>
          <w:lang w:eastAsia="zh-CN"/>
        </w:rPr>
        <w:t>上报</w:t>
      </w:r>
      <w:r>
        <w:rPr>
          <w:rFonts w:hint="default" w:ascii="Times New Roman" w:hAnsi="Times New Roman" w:eastAsia="仿宋_GB2312" w:cs="Times New Roman"/>
          <w:color w:val="auto"/>
          <w:sz w:val="32"/>
          <w:szCs w:val="32"/>
          <w:highlight w:val="none"/>
          <w:lang w:eastAsia="zh-CN"/>
        </w:rPr>
        <w:t>省级人民政府。省级人民政府进行综合</w:t>
      </w:r>
      <w:r>
        <w:rPr>
          <w:rFonts w:hint="default" w:ascii="Times New Roman" w:hAnsi="Times New Roman" w:eastAsia="仿宋_GB2312" w:cs="Times New Roman"/>
          <w:color w:val="auto"/>
          <w:sz w:val="32"/>
          <w:szCs w:val="32"/>
          <w:highlight w:val="none"/>
        </w:rPr>
        <w:t>评估</w:t>
      </w:r>
      <w:r>
        <w:rPr>
          <w:rFonts w:hint="default" w:ascii="Times New Roman" w:hAnsi="Times New Roman" w:eastAsia="仿宋_GB2312" w:cs="Times New Roman"/>
          <w:color w:val="auto"/>
          <w:sz w:val="32"/>
          <w:szCs w:val="32"/>
          <w:highlight w:val="none"/>
          <w:lang w:eastAsia="zh-CN"/>
        </w:rPr>
        <w:t>论证，自主支持开展，下达项目同意支持文件，明确职责分工，切实履行全链条监管职责</w:t>
      </w:r>
      <w:r>
        <w:rPr>
          <w:rFonts w:hint="eastAsia" w:ascii="Times New Roman" w:hAnsi="Times New Roman" w:eastAsia="仿宋_GB2312" w:cs="Times New Roman"/>
          <w:color w:val="auto"/>
          <w:sz w:val="32"/>
          <w:szCs w:val="32"/>
          <w:highlight w:val="none"/>
          <w:lang w:eastAsia="zh-CN"/>
        </w:rPr>
        <w:t>，对所支持项目的监管等事项承担主体</w:t>
      </w:r>
      <w:r>
        <w:rPr>
          <w:rFonts w:hint="default" w:ascii="Times New Roman" w:hAnsi="Times New Roman" w:eastAsia="仿宋_GB2312" w:cs="Times New Roman"/>
          <w:color w:val="auto"/>
          <w:sz w:val="32"/>
          <w:szCs w:val="32"/>
          <w:highlight w:val="none"/>
          <w:lang w:eastAsia="zh-CN"/>
        </w:rPr>
        <w:t>责任，建立健全项目动态考核与监督退出机制。</w:t>
      </w:r>
    </w:p>
    <w:p w14:paraId="5981A4F2">
      <w:pPr>
        <w:numPr>
          <w:ilvl w:val="0"/>
          <w:numId w:val="0"/>
        </w:numPr>
        <w:ind w:firstLine="0" w:firstLineChars="0"/>
        <w:rPr>
          <w:sz w:val="21"/>
          <w:szCs w:val="24"/>
        </w:rPr>
      </w:pPr>
      <w:r>
        <w:rPr>
          <w:rFonts w:hint="eastAsia" w:ascii="Times New Roman" w:hAnsi="Times New Roman" w:eastAsia="楷体_GB2312" w:cs="Times New Roman"/>
          <w:b/>
          <w:bCs/>
          <w:color w:val="auto"/>
          <w:sz w:val="32"/>
          <w:szCs w:val="32"/>
          <w:highlight w:val="none"/>
          <w:lang w:val="en-US" w:eastAsia="zh-CN"/>
        </w:rPr>
        <w:t xml:space="preserve">    （三）</w:t>
      </w:r>
      <w:r>
        <w:rPr>
          <w:rFonts w:hint="default" w:ascii="Times New Roman" w:hAnsi="Times New Roman" w:eastAsia="楷体_GB2312" w:cs="Times New Roman"/>
          <w:b/>
          <w:bCs/>
          <w:color w:val="auto"/>
          <w:sz w:val="32"/>
          <w:szCs w:val="32"/>
          <w:highlight w:val="none"/>
          <w:lang w:eastAsia="zh-CN"/>
        </w:rPr>
        <w:t>国务院相关部门评估支持项目。</w:t>
      </w:r>
      <w:r>
        <w:rPr>
          <w:rFonts w:hint="default" w:ascii="Times New Roman" w:hAnsi="Times New Roman" w:eastAsia="仿宋_GB2312" w:cs="Times New Roman"/>
          <w:color w:val="auto"/>
          <w:sz w:val="32"/>
          <w:szCs w:val="32"/>
          <w:highlight w:val="none"/>
          <w:lang w:val="en-US" w:eastAsia="zh-CN"/>
        </w:rPr>
        <w:t>根据</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b w:val="0"/>
          <w:bCs w:val="0"/>
          <w:sz w:val="32"/>
          <w:szCs w:val="32"/>
          <w:lang w:eastAsia="zh-CN"/>
        </w:rPr>
        <w:t>中华人民共和国环境保护法</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b w:val="0"/>
          <w:bCs w:val="0"/>
          <w:sz w:val="32"/>
          <w:szCs w:val="32"/>
          <w:lang w:eastAsia="zh-CN"/>
        </w:rPr>
        <w:t>等有关法律规定和</w:t>
      </w:r>
      <w:r>
        <w:rPr>
          <w:rFonts w:hint="eastAsia" w:ascii="Times New Roman" w:hAnsi="Times New Roman" w:eastAsia="仿宋_GB2312" w:cs="Times New Roman"/>
          <w:color w:val="auto"/>
          <w:sz w:val="32"/>
          <w:szCs w:val="32"/>
          <w:lang w:eastAsia="zh-CN"/>
        </w:rPr>
        <w:t>商贸发〔2023〕308号等文件</w:t>
      </w:r>
      <w:r>
        <w:rPr>
          <w:rFonts w:hint="eastAsia" w:ascii="Times New Roman" w:hAnsi="Times New Roman" w:eastAsia="仿宋_GB2312" w:cs="Times New Roman"/>
          <w:color w:val="auto"/>
          <w:sz w:val="32"/>
          <w:szCs w:val="32"/>
          <w:highlight w:val="none"/>
          <w:lang w:val="en-US" w:eastAsia="zh-CN"/>
        </w:rPr>
        <w:t>精神</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eastAsia="zh-CN"/>
        </w:rPr>
        <w:t>综保区、自贸试验区及</w:t>
      </w:r>
      <w:r>
        <w:rPr>
          <w:rFonts w:hint="default" w:ascii="Times New Roman" w:hAnsi="Times New Roman" w:eastAsia="仿宋_GB2312" w:cs="Times New Roman"/>
          <w:b w:val="0"/>
          <w:bCs w:val="0"/>
          <w:color w:val="auto"/>
          <w:sz w:val="32"/>
          <w:szCs w:val="32"/>
          <w:highlight w:val="none"/>
          <w:lang w:val="en" w:eastAsia="zh-CN"/>
        </w:rPr>
        <w:t>苏州市、东莞市、天津市滨海新区</w:t>
      </w:r>
      <w:r>
        <w:rPr>
          <w:rFonts w:hint="default" w:ascii="Times New Roman" w:hAnsi="Times New Roman" w:eastAsia="仿宋_GB2312" w:cs="Times New Roman"/>
          <w:b w:val="0"/>
          <w:bCs w:val="0"/>
          <w:color w:val="auto"/>
          <w:sz w:val="32"/>
          <w:szCs w:val="32"/>
          <w:highlight w:val="none"/>
          <w:lang w:eastAsia="zh-CN"/>
        </w:rPr>
        <w:t>内企业开展目录外产品保税维修，综保区、自贸试验区外企业开展保税维修，应按要求</w:t>
      </w:r>
      <w:r>
        <w:rPr>
          <w:rFonts w:hint="default" w:ascii="Times New Roman" w:hAnsi="Times New Roman" w:eastAsia="仿宋_GB2312" w:cs="Times New Roman"/>
          <w:color w:val="auto"/>
          <w:sz w:val="32"/>
          <w:szCs w:val="32"/>
          <w:highlight w:val="none"/>
          <w:lang w:eastAsia="zh-CN"/>
        </w:rPr>
        <w:t>提交项目申报书。省级商务主管部门</w:t>
      </w:r>
      <w:r>
        <w:rPr>
          <w:rFonts w:hint="eastAsia" w:ascii="Times New Roman" w:hAnsi="Times New Roman" w:eastAsia="仿宋_GB2312" w:cs="Times New Roman"/>
          <w:color w:val="auto"/>
          <w:sz w:val="32"/>
          <w:szCs w:val="32"/>
          <w:highlight w:val="none"/>
          <w:lang w:eastAsia="zh-CN"/>
        </w:rPr>
        <w:t>受理</w:t>
      </w:r>
      <w:r>
        <w:rPr>
          <w:rFonts w:hint="default" w:ascii="Times New Roman" w:hAnsi="Times New Roman" w:eastAsia="仿宋_GB2312" w:cs="Times New Roman"/>
          <w:color w:val="auto"/>
          <w:sz w:val="32"/>
          <w:szCs w:val="32"/>
          <w:highlight w:val="none"/>
          <w:lang w:eastAsia="zh-CN"/>
        </w:rPr>
        <w:t>项目申请后，</w:t>
      </w:r>
      <w:r>
        <w:rPr>
          <w:rFonts w:hint="default" w:ascii="Times New Roman" w:hAnsi="Times New Roman" w:eastAsia="仿宋_GB2312" w:cs="Times New Roman"/>
          <w:b w:val="0"/>
          <w:bCs w:val="0"/>
          <w:color w:val="auto"/>
          <w:sz w:val="32"/>
          <w:szCs w:val="32"/>
          <w:highlight w:val="none"/>
          <w:lang w:eastAsia="zh-CN"/>
        </w:rPr>
        <w:t>会同生态</w:t>
      </w:r>
      <w:r>
        <w:rPr>
          <w:rFonts w:hint="eastAsia" w:ascii="Times New Roman" w:hAnsi="Times New Roman" w:eastAsia="仿宋_GB2312" w:cs="Times New Roman"/>
          <w:color w:val="auto"/>
          <w:sz w:val="32"/>
          <w:szCs w:val="32"/>
          <w:highlight w:val="none"/>
          <w:lang w:eastAsia="zh-CN"/>
        </w:rPr>
        <w:t>环境</w:t>
      </w:r>
      <w:r>
        <w:rPr>
          <w:rFonts w:hint="default" w:ascii="Times New Roman" w:hAnsi="Times New Roman" w:eastAsia="仿宋_GB2312" w:cs="Times New Roman"/>
          <w:b w:val="0"/>
          <w:bCs w:val="0"/>
          <w:color w:val="auto"/>
          <w:sz w:val="32"/>
          <w:szCs w:val="32"/>
          <w:highlight w:val="none"/>
          <w:lang w:eastAsia="zh-CN"/>
        </w:rPr>
        <w:t>、海关等部门研究并</w:t>
      </w:r>
      <w:r>
        <w:rPr>
          <w:rFonts w:hint="default" w:ascii="Times New Roman" w:hAnsi="Times New Roman" w:eastAsia="仿宋_GB2312" w:cs="Times New Roman"/>
          <w:color w:val="auto"/>
          <w:sz w:val="32"/>
          <w:szCs w:val="32"/>
          <w:highlight w:val="none"/>
          <w:lang w:eastAsia="zh-CN"/>
        </w:rPr>
        <w:t>制定综合监管方案，切实履行全链条监管职责，</w:t>
      </w:r>
      <w:r>
        <w:rPr>
          <w:rFonts w:hint="default" w:ascii="Times New Roman" w:hAnsi="Times New Roman" w:eastAsia="仿宋_GB2312" w:cs="Times New Roman"/>
          <w:b w:val="0"/>
          <w:bCs w:val="0"/>
          <w:snapToGrid/>
          <w:color w:val="auto"/>
          <w:kern w:val="2"/>
          <w:sz w:val="32"/>
          <w:szCs w:val="32"/>
          <w:lang w:val="en-US" w:eastAsia="zh-CN" w:bidi="ar"/>
        </w:rPr>
        <w:t>以省</w:t>
      </w:r>
      <w:r>
        <w:rPr>
          <w:rFonts w:hint="default" w:ascii="Times New Roman" w:hAnsi="Times New Roman" w:eastAsia="仿宋_GB2312" w:cs="Times New Roman"/>
          <w:b w:val="0"/>
          <w:bCs w:val="0"/>
          <w:snapToGrid/>
          <w:color w:val="auto"/>
          <w:kern w:val="2"/>
          <w:sz w:val="32"/>
          <w:szCs w:val="32"/>
          <w:lang w:eastAsia="zh-CN" w:bidi="ar"/>
        </w:rPr>
        <w:t>级</w:t>
      </w:r>
      <w:r>
        <w:rPr>
          <w:rFonts w:hint="default" w:ascii="Times New Roman" w:hAnsi="Times New Roman" w:eastAsia="仿宋_GB2312" w:cs="Times New Roman"/>
          <w:b w:val="0"/>
          <w:bCs w:val="0"/>
          <w:snapToGrid/>
          <w:color w:val="auto"/>
          <w:kern w:val="2"/>
          <w:sz w:val="32"/>
          <w:szCs w:val="32"/>
          <w:lang w:val="en-US" w:eastAsia="zh-CN" w:bidi="ar"/>
        </w:rPr>
        <w:t>人民政府名义向商务部</w:t>
      </w:r>
      <w:r>
        <w:rPr>
          <w:rFonts w:hint="default" w:ascii="Times New Roman" w:hAnsi="Times New Roman" w:eastAsia="仿宋_GB2312" w:cs="Times New Roman"/>
          <w:b w:val="0"/>
          <w:bCs w:val="0"/>
          <w:snapToGrid/>
          <w:color w:val="auto"/>
          <w:kern w:val="2"/>
          <w:sz w:val="32"/>
          <w:szCs w:val="32"/>
          <w:lang w:eastAsia="zh-CN" w:bidi="ar"/>
        </w:rPr>
        <w:t>上报试点业务申请</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sz w:val="32"/>
          <w:szCs w:val="32"/>
          <w:lang w:eastAsia="zh-CN"/>
        </w:rPr>
        <w:t>并由省级人民政府</w:t>
      </w:r>
      <w:r>
        <w:rPr>
          <w:rFonts w:hint="eastAsia" w:ascii="Times New Roman" w:hAnsi="Times New Roman" w:eastAsia="仿宋_GB2312"/>
          <w:sz w:val="32"/>
          <w:szCs w:val="32"/>
          <w:lang w:eastAsia="zh-CN"/>
        </w:rPr>
        <w:t>对保税维修项目涉及的环境质量等事项负责</w:t>
      </w:r>
      <w:r>
        <w:rPr>
          <w:rFonts w:hint="default" w:ascii="Times New Roman" w:hAnsi="Times New Roman" w:eastAsia="仿宋_GB2312" w:cs="Times New Roman"/>
          <w:color w:val="auto"/>
          <w:sz w:val="32"/>
          <w:szCs w:val="32"/>
          <w:highlight w:val="none"/>
        </w:rPr>
        <w:t>。商务部</w:t>
      </w:r>
      <w:r>
        <w:rPr>
          <w:rFonts w:hint="default" w:ascii="Times New Roman" w:hAnsi="Times New Roman" w:eastAsia="仿宋_GB2312" w:cs="Times New Roman"/>
          <w:color w:val="auto"/>
          <w:sz w:val="32"/>
          <w:szCs w:val="32"/>
          <w:highlight w:val="none"/>
          <w:lang w:eastAsia="zh-CN"/>
        </w:rPr>
        <w:t>就</w:t>
      </w:r>
      <w:r>
        <w:rPr>
          <w:rFonts w:hint="default" w:ascii="Times New Roman" w:hAnsi="Times New Roman" w:eastAsia="仿宋_GB2312" w:cs="Times New Roman"/>
          <w:color w:val="auto"/>
          <w:sz w:val="32"/>
          <w:szCs w:val="32"/>
          <w:highlight w:val="none"/>
        </w:rPr>
        <w:t>项目</w:t>
      </w:r>
      <w:r>
        <w:rPr>
          <w:rFonts w:hint="default" w:ascii="Times New Roman" w:hAnsi="Times New Roman" w:eastAsia="仿宋_GB2312" w:cs="Times New Roman"/>
          <w:color w:val="auto"/>
          <w:sz w:val="32"/>
          <w:szCs w:val="32"/>
          <w:highlight w:val="none"/>
          <w:lang w:eastAsia="zh-CN"/>
        </w:rPr>
        <w:t>及</w:t>
      </w:r>
      <w:r>
        <w:rPr>
          <w:rFonts w:hint="default" w:ascii="Times New Roman" w:hAnsi="Times New Roman" w:eastAsia="仿宋_GB2312" w:cs="Times New Roman"/>
          <w:color w:val="auto"/>
          <w:sz w:val="32"/>
          <w:szCs w:val="32"/>
          <w:highlight w:val="none"/>
        </w:rPr>
        <w:t>综合监管方案</w:t>
      </w:r>
      <w:r>
        <w:rPr>
          <w:rFonts w:hint="default" w:ascii="Times New Roman" w:hAnsi="Times New Roman" w:eastAsia="仿宋_GB2312" w:cs="Times New Roman"/>
          <w:color w:val="auto"/>
          <w:sz w:val="32"/>
          <w:szCs w:val="32"/>
          <w:highlight w:val="none"/>
          <w:lang w:eastAsia="zh-CN"/>
        </w:rPr>
        <w:t>征求生态环境部、</w:t>
      </w:r>
      <w:r>
        <w:rPr>
          <w:rFonts w:hint="default" w:ascii="Times New Roman" w:hAnsi="Times New Roman" w:eastAsia="仿宋_GB2312" w:cs="Times New Roman"/>
          <w:color w:val="auto"/>
          <w:sz w:val="32"/>
          <w:szCs w:val="32"/>
          <w:highlight w:val="none"/>
        </w:rPr>
        <w:t>海关总署等部门</w:t>
      </w:r>
      <w:r>
        <w:rPr>
          <w:rFonts w:hint="default" w:ascii="Times New Roman" w:hAnsi="Times New Roman" w:eastAsia="仿宋_GB2312" w:cs="Times New Roman"/>
          <w:color w:val="auto"/>
          <w:sz w:val="32"/>
          <w:szCs w:val="32"/>
          <w:highlight w:val="none"/>
          <w:lang w:eastAsia="zh-CN"/>
        </w:rPr>
        <w:t>意见</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同意支持后下达文件</w:t>
      </w:r>
      <w:r>
        <w:rPr>
          <w:rFonts w:hint="default" w:ascii="Times New Roman" w:hAnsi="Times New Roman" w:eastAsia="仿宋_GB2312" w:cs="Times New Roman"/>
          <w:color w:val="auto"/>
          <w:sz w:val="32"/>
          <w:szCs w:val="32"/>
          <w:highlight w:val="none"/>
        </w:rPr>
        <w:t>推动项目以试点方式落地实施。</w:t>
      </w:r>
    </w:p>
    <w:p w14:paraId="2E089A6A">
      <w:pPr>
        <w:numPr>
          <w:ilvl w:val="0"/>
          <w:numId w:val="0"/>
        </w:numPr>
        <w:ind w:firstLine="0" w:firstLineChars="0"/>
        <w:rPr>
          <w:sz w:val="24"/>
          <w:szCs w:val="32"/>
        </w:rPr>
      </w:pPr>
    </w:p>
    <w:p w14:paraId="42EB7D75"/>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D96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55B653E">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455B653E">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3"/>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FE774"/>
    <w:rsid w:val="2D496D29"/>
    <w:rsid w:val="7F6FE7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3619</Words>
  <Characters>3728</Characters>
  <Lines>0</Lines>
  <Paragraphs>0</Paragraphs>
  <TotalTime>0</TotalTime>
  <ScaleCrop>false</ScaleCrop>
  <LinksUpToDate>false</LinksUpToDate>
  <CharactersWithSpaces>3866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2025-12-25T20:50:00Z</dcterms:created>
  <dc:creator>user</dc:creator>
  <cp:lastModifiedBy>admin001</cp:lastModifiedBy>
  <dcterms:modified xsi:type="dcterms:W3CDTF">2026-07-06T00:40:29Z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FF45EB37B47A40859703A39675AF6590_13</vt:lpwstr>
  </property>
</Properties>
</file>